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7EBA" w14:textId="77777777" w:rsidR="000F1F2D" w:rsidRPr="008A0118" w:rsidRDefault="000F1F2D" w:rsidP="000F1F2D">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4349D5B4" w14:textId="77777777" w:rsidR="000F1F2D" w:rsidRPr="000F1F2D" w:rsidRDefault="000F1F2D">
      <w:pPr>
        <w:rPr>
          <w:sz w:val="22"/>
          <w:lang w:val="ru-RU"/>
        </w:rPr>
      </w:pPr>
    </w:p>
    <w:p w14:paraId="26B64EF9" w14:textId="77777777" w:rsidR="000F1F2D" w:rsidRPr="000F1F2D" w:rsidRDefault="000F1F2D">
      <w:pPr>
        <w:rPr>
          <w:sz w:val="22"/>
          <w:lang w:val="ru-RU"/>
        </w:rPr>
      </w:pPr>
    </w:p>
    <w:p w14:paraId="06B0A9FA" w14:textId="029845B1" w:rsidR="00745094" w:rsidRPr="000F1F2D" w:rsidRDefault="00000000">
      <w:pPr>
        <w:rPr>
          <w:lang w:val="ru-RU"/>
        </w:rPr>
      </w:pPr>
      <w:r>
        <w:rPr>
          <w:sz w:val="22"/>
        </w:rPr>
        <w:t>Citation: Xiang G-X, Gan X, Jin X, Zhang Y-H and Zhu C-S (2022) Developmental Assets, Self-Control and Internet Gaming Disorder in Adolescence: Testing a Moderated Mediation Model in a Longitudinal Study. Front</w:t>
      </w:r>
      <w:r w:rsidRPr="000F1F2D">
        <w:rPr>
          <w:sz w:val="22"/>
          <w:lang w:val="ru-RU"/>
        </w:rPr>
        <w:t xml:space="preserve">. </w:t>
      </w:r>
      <w:r>
        <w:rPr>
          <w:sz w:val="22"/>
        </w:rPr>
        <w:t>Public</w:t>
      </w:r>
      <w:r w:rsidRPr="000F1F2D">
        <w:rPr>
          <w:sz w:val="22"/>
          <w:lang w:val="ru-RU"/>
        </w:rPr>
        <w:t xml:space="preserve"> </w:t>
      </w:r>
      <w:r>
        <w:rPr>
          <w:sz w:val="22"/>
        </w:rPr>
        <w:t>Health</w:t>
      </w:r>
      <w:r w:rsidRPr="000F1F2D">
        <w:rPr>
          <w:sz w:val="22"/>
          <w:lang w:val="ru-RU"/>
        </w:rPr>
        <w:t xml:space="preserve"> 10:808264. </w:t>
      </w:r>
      <w:r>
        <w:rPr>
          <w:sz w:val="22"/>
        </w:rPr>
        <w:t>doi</w:t>
      </w:r>
      <w:r w:rsidRPr="000F1F2D">
        <w:rPr>
          <w:sz w:val="22"/>
          <w:lang w:val="ru-RU"/>
        </w:rPr>
        <w:t>: 10.3389/</w:t>
      </w:r>
      <w:r>
        <w:rPr>
          <w:sz w:val="22"/>
        </w:rPr>
        <w:t>fpubh</w:t>
      </w:r>
      <w:r w:rsidRPr="000F1F2D">
        <w:rPr>
          <w:sz w:val="22"/>
          <w:lang w:val="ru-RU"/>
        </w:rPr>
        <w:t>.2022.808264</w:t>
      </w:r>
    </w:p>
    <w:p w14:paraId="42758182" w14:textId="77777777" w:rsidR="00745094" w:rsidRPr="000F1F2D" w:rsidRDefault="00000000">
      <w:pPr>
        <w:spacing w:after="240"/>
        <w:jc w:val="center"/>
        <w:rPr>
          <w:lang w:val="ru-RU"/>
        </w:rPr>
      </w:pPr>
      <w:r w:rsidRPr="000F1F2D">
        <w:rPr>
          <w:b/>
          <w:sz w:val="32"/>
          <w:lang w:val="ru-RU"/>
        </w:rPr>
        <w:t>Ресурсы развития, самоконтроль и интернет-игровое расстройство в подростковом возрасте: проверка модели модерируемой медиации в лонгитюдном исследовании</w:t>
      </w:r>
    </w:p>
    <w:p w14:paraId="30F64014" w14:textId="77777777" w:rsidR="00745094" w:rsidRPr="000F1F2D" w:rsidRDefault="00000000">
      <w:pPr>
        <w:spacing w:before="160" w:after="80"/>
        <w:rPr>
          <w:lang w:val="ru-RU"/>
        </w:rPr>
      </w:pPr>
      <w:r w:rsidRPr="000F1F2D">
        <w:rPr>
          <w:b/>
          <w:sz w:val="30"/>
          <w:lang w:val="ru-RU"/>
        </w:rPr>
        <w:t>Аннотация</w:t>
      </w:r>
    </w:p>
    <w:p w14:paraId="72050FA9" w14:textId="77777777" w:rsidR="00745094" w:rsidRDefault="00000000">
      <w:pPr>
        <w:spacing w:after="60" w:line="264" w:lineRule="auto"/>
        <w:ind w:firstLine="709"/>
        <w:jc w:val="both"/>
      </w:pPr>
      <w:r w:rsidRPr="000F1F2D">
        <w:rPr>
          <w:lang w:val="ru-RU"/>
        </w:rPr>
        <w:t>С позиции позитивного развития молодежи ресурсы развития и самоконтроль играют критически важную роль в содействии развитию подростков. Однако их влияние применительно к интернет-игровому расстройству (</w:t>
      </w:r>
      <w:r>
        <w:t>IGD</w:t>
      </w:r>
      <w:r w:rsidRPr="000F1F2D">
        <w:rPr>
          <w:lang w:val="ru-RU"/>
        </w:rPr>
        <w:t xml:space="preserve">) до настоящего времени не оценивалось. </w:t>
      </w:r>
      <w:r>
        <w:t>IGD</w:t>
      </w:r>
      <w:r w:rsidRPr="000F1F2D">
        <w:rPr>
          <w:lang w:val="ru-RU"/>
        </w:rPr>
        <w:t xml:space="preserve"> постепенно становится важной социальной проблемой среди молодежи во всем мире и включено в одиннадцатый пересмотр Международной классификации болезней (</w:t>
      </w:r>
      <w:r>
        <w:t>ICD</w:t>
      </w:r>
      <w:r w:rsidRPr="000F1F2D">
        <w:rPr>
          <w:lang w:val="ru-RU"/>
        </w:rPr>
        <w:t xml:space="preserve">-11). Поэтому настоящее исследование было направлено на изучение взаимосвязи между ресурсами развития, самоконтролем и </w:t>
      </w:r>
      <w:r>
        <w:t>IGD</w:t>
      </w:r>
      <w:r w:rsidRPr="000F1F2D">
        <w:rPr>
          <w:lang w:val="ru-RU"/>
        </w:rPr>
        <w:t xml:space="preserve">. Двухволновое лонгитюдное исследование с интервалом между волнами в полгода было проведено на выборке из 1023 подростков в возрасте от 11 до 15 лет (49.36% мальчиков) во время пандемии </w:t>
      </w:r>
      <w:r>
        <w:t>COVID</w:t>
      </w:r>
      <w:r w:rsidRPr="000F1F2D">
        <w:rPr>
          <w:lang w:val="ru-RU"/>
        </w:rPr>
        <w:t xml:space="preserve">-19. Результаты модели модерируемой медиации показали, что ресурсы развития в момент </w:t>
      </w:r>
      <w:r>
        <w:t>T</w:t>
      </w:r>
      <w:r w:rsidRPr="000F1F2D">
        <w:rPr>
          <w:lang w:val="ru-RU"/>
        </w:rPr>
        <w:t xml:space="preserve">1 могли напрямую предсказывать более низкий уровень </w:t>
      </w:r>
      <w:r>
        <w:t>IGD</w:t>
      </w:r>
      <w:r w:rsidRPr="000F1F2D">
        <w:rPr>
          <w:lang w:val="ru-RU"/>
        </w:rPr>
        <w:t xml:space="preserve"> в момент </w:t>
      </w:r>
      <w:r>
        <w:t>T</w:t>
      </w:r>
      <w:r w:rsidRPr="000F1F2D">
        <w:rPr>
          <w:lang w:val="ru-RU"/>
        </w:rPr>
        <w:t xml:space="preserve">2 либо косвенно - через самоконтроль в момент </w:t>
      </w:r>
      <w:r>
        <w:t>T</w:t>
      </w:r>
      <w:r w:rsidRPr="000F1F2D">
        <w:rPr>
          <w:lang w:val="ru-RU"/>
        </w:rPr>
        <w:t xml:space="preserve">1. Кроме того, модерирующий эффект пола в модели медиации оказался статистически незначимым. </w:t>
      </w:r>
      <w:r>
        <w:t>В целом подростки, располагающие большим объемом ресурсов развития, менее подвержены IGD. Более того, ресурсы развития способствуют формированию более высокого уровня самоконтроля, что, в свою очередь, помогает предупреждать IGD и проводить вмешательства, направленные на его снижение. Следовательно, для предупреждения или уменьшения IGD в подростковом возрасте необходимо предпринимать меры по формированию ресурсов развития.</w:t>
      </w:r>
    </w:p>
    <w:p w14:paraId="4736C2C6" w14:textId="77777777" w:rsidR="00745094" w:rsidRDefault="00000000">
      <w:pPr>
        <w:spacing w:after="160"/>
        <w:jc w:val="both"/>
      </w:pPr>
      <w:r>
        <w:rPr>
          <w:b/>
        </w:rPr>
        <w:t xml:space="preserve">Ключевые слова: </w:t>
      </w:r>
      <w:r>
        <w:t>ресурсы развития, самоконтроль, интернет-игровое расстройство, лонгитюдная модель медиации, подростки</w:t>
      </w:r>
    </w:p>
    <w:p w14:paraId="1ADB13DA" w14:textId="77777777" w:rsidR="00745094" w:rsidRDefault="00000000">
      <w:pPr>
        <w:spacing w:before="160" w:after="80"/>
      </w:pPr>
      <w:r>
        <w:rPr>
          <w:b/>
          <w:sz w:val="30"/>
        </w:rPr>
        <w:t>Введение</w:t>
      </w:r>
    </w:p>
    <w:p w14:paraId="61955794" w14:textId="77777777" w:rsidR="00745094" w:rsidRDefault="00000000">
      <w:pPr>
        <w:spacing w:after="60" w:line="264" w:lineRule="auto"/>
        <w:ind w:firstLine="709"/>
        <w:jc w:val="both"/>
      </w:pPr>
      <w:r>
        <w:t xml:space="preserve">Во время пандемии COVID-19 учащиеся участвуют в онлайн-обучении с использованием различных мобильных устройств, таких как компьютеры и мобильные </w:t>
      </w:r>
      <w:r>
        <w:lastRenderedPageBreak/>
        <w:t>телефоны (1). Благодаря этим устройствам интернет-игры становятся для подростков более доступными, что может повышать вероятность интернет-игрового расстройства (IGD). Кроме того, во всем мире растет число подростков, играющих в интернет-игры, а это означает, что все больше подростков сталкиваются с риском IGD (2-4). IGD означает неконтролируемое, чрезмерное и компульсивное использование интернет-игр, которое приводит к социальным и эмоциональным проблемам (5). Это явление постепенно становится важной социальной проблемой среди молодого поколения и включено в Международную классификацию болезней (6). В то же время растущее число исследований показывает, что IGD может сопровождаться другими проблемами развития, включая психические расстройства и проблемное поведение (3, 7). Более того, оно связано с рядом изменений функции и структуры мозга (8-11). Учитывая негативные последствия IGD, многие исследователи стремятся выявить механизмы, причины и последствия данного феномена.</w:t>
      </w:r>
    </w:p>
    <w:p w14:paraId="394DAA40" w14:textId="77777777" w:rsidR="00745094" w:rsidRDefault="00000000">
      <w:pPr>
        <w:spacing w:after="60" w:line="264" w:lineRule="auto"/>
        <w:ind w:firstLine="709"/>
        <w:jc w:val="both"/>
      </w:pPr>
      <w:r>
        <w:t>Помимо изучения влияния IGD на человека, исследователи добились значительных успехов и в объяснении причин этого явления. Эмпирические исследования показали, что многочисленные факторы значимо предсказывают IGD, включая депрессию, тревожность, стресс, агрессию, привязанность к сверстникам, социальные навыки, семейное функционирование и родительский мониторинг (12-18). Однако, согласно экологической системной теории, Бронфенбреннер подчеркивал, что различные подсистемы функционируют как единое целое, влияя на развитие личности (19). Следовательно, сочетание нескольких факторов позволяет лучше объяснить причины или механизмы IGD. Кроме того, это в большей степени соответствует реальности. Исходя из данной теории, настоящее исследование направлено на объединение ряда факторов для изучения их совместного влияния на IGD у подростков. Это позволит не только глубже понять IGD, но и будет способствовать профилактике и коррекции интернет-игрового расстройства у подростков.</w:t>
      </w:r>
    </w:p>
    <w:p w14:paraId="738918C9" w14:textId="77777777" w:rsidR="00745094" w:rsidRDefault="00000000">
      <w:pPr>
        <w:spacing w:before="120" w:after="80"/>
      </w:pPr>
      <w:r>
        <w:rPr>
          <w:b/>
          <w:sz w:val="26"/>
        </w:rPr>
        <w:t>Ресурсы развития и IGD</w:t>
      </w:r>
    </w:p>
    <w:p w14:paraId="6D88D86B" w14:textId="77777777" w:rsidR="00745094" w:rsidRDefault="00000000">
      <w:pPr>
        <w:spacing w:after="60" w:line="264" w:lineRule="auto"/>
        <w:ind w:firstLine="709"/>
        <w:jc w:val="both"/>
      </w:pPr>
      <w:r>
        <w:t xml:space="preserve">В последние десятилетия психологи развития, вдохновленные идеями позитивной психологии и сравнительной психологии, уделяют все больше внимания позитивному развитию молодежи (PYD). Эта новая перспектива подчеркивает, что все молодые люди обладают сильными сторонами и ресурсами, которые способны эффективно содействовать их здоровому развитию (20). С этой точки зрения Benson и соавт. (21, 22) разработали широко используемую концепцию ресурсов развития. Под ресурсами развития понимают 40 значимых ресурсов, способствующих позитивному развитию молодежи (23). Согласно данной концепции (22), эти 40 ресурсов развития можно разделить на две категории: социальные ресурсы (или внешние ресурсы) и личностные ресурсы (внутренние ресурсы). Внешние ресурсы включают четыре группы: поддержку (например, семейную и социальную поддержку, а также позитивную семейную коммуникацию), наделение возможностями (например, наличие обязанностей и возможностей помогать другим, а также чувство безопасности), границы и ожидания (например, наличие правил со стороны семьи, школы и соседского окружения и ожидание хороших результатов) и конструктивное использование времени (например, участие в творческой и социальной активности). Аналогично внутренние ресурсы также включают четыре группы: приверженность обучению (например, стремление к академическим достижениям и позитивная вовлеченность в школьную жизнь), позитивные ценности (например, честность, верность и ответственность), социальную компетентность </w:t>
      </w:r>
      <w:r>
        <w:lastRenderedPageBreak/>
        <w:t>(например, навыки совладания и социальные навыки) и позитивную идентичность (например, самооценка и наличие жизненной цели). Эти восемь типов ресурсов охватывают множество факторов из различных подсистем, включая самого индивида, семью, школу, сообщество и общество в целом. Предыдущие исследования подтвердили, что ресурсы развития способствуют позитивному росту молодежи в различных культурах (22, 24-26). Китайская молодежь не является исключением: в рамках PYD она также получает пользу от ресурсов развития (27, 28).</w:t>
      </w:r>
    </w:p>
    <w:p w14:paraId="35E37563" w14:textId="77777777" w:rsidR="00745094" w:rsidRDefault="00000000">
      <w:pPr>
        <w:spacing w:after="60" w:line="264" w:lineRule="auto"/>
        <w:ind w:firstLine="709"/>
        <w:jc w:val="both"/>
      </w:pPr>
      <w:r>
        <w:t>Предположение о горизонтальном накоплении в рамках концепции ресурсов развития подчеркивает, что наличие как можно большего числа разновидностей ресурсов позволяет предотвращать негативные исходы (22). Исходя из этого, предыдущие исследования показали защитную функцию ресурсов развития в отношении рискованного поведения у молодежи разных стран (29, 30). Воодушевленное этими данными, настоящее исследование направлено на проверку того, способны ли ресурсы развития снижать или предотвращать IGD у китайской молодежи. Эмпирическая литература уже косвенно подтверждает связь между ресурсами развития и IGD. Так, Bonnaire и Phan (31) обнаружили, что семейные правила (входящие в блок границ и ожиданий) могут эффективно предотвращать IGD у мальчиков. В лонгитюдном исследовании китайских подростков Su и соавт. (13) также показали, что родительский мониторинг (входящий в блок границ и ожиданий) играет важную роль в профилактике IGD. В том же году Kim и соавт. (12) сообщили, что позитивная коммуникация между отцом и подростком (входящая в блок поддержки) отрицательно связана с IGD у корейских подростков. Аналогично Zhang и соавт. (32) показали, что социальная поддержка (входящая в блок поддержки) отрицательно связана с симптомами IGD у китайских студентов университетов. В совокупности эти результаты, полученные на выборках молодежи, указывают на то, что IGD может определяться социальными ресурсами.</w:t>
      </w:r>
    </w:p>
    <w:p w14:paraId="721B1BD2" w14:textId="77777777" w:rsidR="00745094" w:rsidRDefault="00000000">
      <w:pPr>
        <w:spacing w:after="60" w:line="264" w:lineRule="auto"/>
        <w:ind w:firstLine="709"/>
        <w:jc w:val="both"/>
      </w:pPr>
      <w:r>
        <w:t>Кроме того, было показано, что личностные ресурсы также оказывают отрицательное влияние на IGD у молодежи. Лонгитюдное исследование Yu и его коллег (33) показало, что рост школьной вовлеченности (входящей в приверженность обучению) может значимо снижать IGD у подростков. Кроме того, Beard и соавт. (34) обнаружили, что самооценка (входящая в позитивную идентичность) выступает защитным фактором в отношении IGD. Аналогично Zhang и соавт. (32) показали, что наличие жизненной цели (входящее в позитивную идентичность) эффективно защищает студентов университетов от IGD. Недавно Teng и соавт. (16) в лонгитюдном исследовании первокурсников продемонстрировали, что привязанность к сверстникам (входящая в социальную компетентность) имеет двунаправленную связь с IGD. Таким образом, как внешние, так и внутренние ресурсы развития значимо связаны с IGD у молодежи разных стран, включая китайских подростков. Следовательно, в настоящем исследовании выдвигается гипотеза о том, что ресурсы развития способны отрицательно предсказывать IGD у подростков (гипотеза 1).</w:t>
      </w:r>
    </w:p>
    <w:p w14:paraId="150744B9" w14:textId="77777777" w:rsidR="00745094" w:rsidRDefault="00000000">
      <w:pPr>
        <w:spacing w:before="120" w:after="80"/>
      </w:pPr>
      <w:r>
        <w:rPr>
          <w:b/>
          <w:sz w:val="26"/>
        </w:rPr>
        <w:t>Самоконтроль как потенциальный медиатор</w:t>
      </w:r>
    </w:p>
    <w:p w14:paraId="52E4233B" w14:textId="77777777" w:rsidR="00745094" w:rsidRDefault="00000000">
      <w:pPr>
        <w:spacing w:after="60" w:line="264" w:lineRule="auto"/>
        <w:ind w:firstLine="709"/>
        <w:jc w:val="both"/>
      </w:pPr>
      <w:r>
        <w:t xml:space="preserve">Помимо прямой связи между ресурсами развития и IGD, может существовать и другой потенциальный медиирующий механизм. Самоконтроль, рассматриваемый как возможный медиатор, обычно понимается как способность изменять нежелательное поведение или тенденции (35). Высокий уровень самоконтроля устойчиво связан с позитивными исходами развития, такими как успехи в обучении, отношениях и здоровье (35, 36). Напротив, люди с низким уровнем самоконтроля чаще сталкиваются с </w:t>
      </w:r>
      <w:r>
        <w:lastRenderedPageBreak/>
        <w:t>поведенческими проблемами, включая преступное поведение и злоупотребление психоактивными веществами (37-39). Согласно общей теории преступности, наиболее существенной причиной преступности и других проблем является дефицит самоконтроля (37). Özdemir и соавт. (40) и Li и соавт. (41) сообщили, что низкий самоконтроль может приводить к интернет-зависимости у студентов университетов и подростков соответственно. Более того, как подтип интернет-зависимости IGD демонстрирует сходную связь с самоконтролем. Kim и соавт. (42) обнаружили, что самоконтроль отрицательно предсказывает IGD. Аналогично в исследовании студентов университета низкий уровень самоконтроля был связан с более выраженным IGD (43). У корейских подростков низкий самоконтроль также значимо предсказывал IGD (44). Учитывая приведенную теорию и соответствующие результаты, можно обоснованно предположить, что самоконтроль может оказывать отрицательное влияние на IGD у подростков. Иными словами, подростки с низкой способностью к самоконтролю могут быть более подвержены IGD.</w:t>
      </w:r>
    </w:p>
    <w:p w14:paraId="152866DA" w14:textId="77777777" w:rsidR="00745094" w:rsidRDefault="00000000">
      <w:pPr>
        <w:spacing w:after="60" w:line="264" w:lineRule="auto"/>
        <w:ind w:firstLine="709"/>
        <w:jc w:val="both"/>
      </w:pPr>
      <w:r>
        <w:t>Gottfredson и Hirschi (37) утверждали, что способность к самоконтролю остается стабильной на протяжении всей жизни. Однако все больше исследований представляют данные, свидетельствующие об обратном: самоконтроль изменяется в подростковом возрасте (45, 46). Помимо генетических влияний, способность к самоконтролю формируется и под воздействием других факторов (47). В частности, предыдущие исследования показали, что на самоконтроль влияют ресурсы развития из различных подсистем, такие как поддержка учителей, поддержка сверстников, родительская поддержка, позитивная семейная коммуникация, хорошие отношения между родителями и детьми (входящие в поддержку), родительский надзор и мониторинг, школьная дисциплина (входящие в границы и ожидания), а также самооценка (входящая в позитивную идентичность) (48-53). Кроме того, экологическая системная теория указывает, что подсистемы совместно воздействуют на развитие индивида (19), что позволяет предположить, что и другие, не упомянутые выше ресурсы развития, также могут влиять на способность к самоконтролю. Следовательно, логично полагать, что ресурсы развития как позитивные факторы могут положительно влиять на самоконтроль подростков. Учитывая сложную связь между самоконтролем, ресурсами развития и IGD, в настоящем исследовании выдвигается гипотеза о том, что самоконтроль играет медиирующую роль во взаимосвязи между ресурсами развития и IGD у подростков (гипотеза 2).</w:t>
      </w:r>
    </w:p>
    <w:p w14:paraId="49FE798F" w14:textId="77777777" w:rsidR="00745094" w:rsidRDefault="00000000">
      <w:pPr>
        <w:spacing w:before="120" w:after="80"/>
      </w:pPr>
      <w:r>
        <w:rPr>
          <w:b/>
          <w:sz w:val="26"/>
        </w:rPr>
        <w:t>Пол как потенциальный модератор</w:t>
      </w:r>
    </w:p>
    <w:p w14:paraId="428A3DEA" w14:textId="77777777" w:rsidR="00745094" w:rsidRDefault="00000000">
      <w:pPr>
        <w:spacing w:after="60" w:line="264" w:lineRule="auto"/>
        <w:ind w:firstLine="709"/>
        <w:jc w:val="both"/>
      </w:pPr>
      <w:r>
        <w:t xml:space="preserve">Предыдущие данные показывают наличие гендерных различий в ресурсах развития, самоконтроле и IGD. В исследовании индийской молодежи были выявлены значимые гендерные различия как по внутренним, так и по внешним ресурсам развития (54). Аналогично португальские юноши и девушки характеризовались различными ресурсами развития (55). Недавнее исследование Gomez-Baya и соавт. (56) показало, что испанские подростки также сталкиваются с аналогичной ситуацией. Согласно концепции ресурсов развития (22), различный объем переживаемых ресурсов развития по-разному влияет на рост и развитие личности. Поэтому необходимо оценить возможные гендерные различия и в настоящей выборке. Кроме того, Jo и Bouffard (57) показали, что мужчины и женщины проходят сходные процессы формирования самоконтроля, однако в краткосрочной перспективе гендерные различия все же существуют. Аналогично Turner и соавт. (58), а также Winfree и соавт. (59) сообщили, что женщины обладают более </w:t>
      </w:r>
      <w:r>
        <w:lastRenderedPageBreak/>
        <w:t>высоким уровнем самоконтроля, чем мужчины. Более того, несколько исследований показали, что гендерные различия проявляются и в IGD (60-62). Учитывая эти различия между мальчиками и девочками, в настоящем исследовании выдвигается гипотеза о том, что гендерные различия могут присутствовать и во взаимосвязи между ресурсами развития, самоконтролем и IGD у подростков (гипотеза 3).</w:t>
      </w:r>
    </w:p>
    <w:p w14:paraId="4C76011D" w14:textId="77777777" w:rsidR="00745094" w:rsidRDefault="00000000">
      <w:pPr>
        <w:spacing w:before="120" w:after="80"/>
      </w:pPr>
      <w:r>
        <w:rPr>
          <w:b/>
          <w:sz w:val="26"/>
        </w:rPr>
        <w:t>Настоящее исследование</w:t>
      </w:r>
    </w:p>
    <w:p w14:paraId="66159DD5" w14:textId="77777777" w:rsidR="00745094" w:rsidRDefault="00000000">
      <w:pPr>
        <w:spacing w:after="60" w:line="264" w:lineRule="auto"/>
        <w:ind w:firstLine="709"/>
        <w:jc w:val="both"/>
      </w:pPr>
      <w:r>
        <w:t>Хотя предыдущие исследования достигли значительных успехов в изучении IGD, данный феномен редко рассматривался с точки зрения PYD. На основе сочетания концепции ресурсов развития (22), общей теории преступности (37) и имеющихся эмпирических данных мы приходим к более глубокому пониманию сложной связи между ресурсами развития, самоконтролем и IGD. Соответственно, настоящее исследование, опираясь на PYD, направлено на изучение взаимосвязи между ресурсами развития, самоконтролем и IGD у китайских подростков и на построение модели модерируемой медиации (см. рисунок 1). В исследовании проверялись следующие гипотезы: (1) ресурсы развития могут отрицательно предсказывать IGD у подростков; (2) самоконтроль играет медиирующую роль во взаимосвязи между ресурсами развития и IGD у подростков; (3) в этой взаимосвязи могут присутствовать гендерные различия.</w:t>
      </w:r>
    </w:p>
    <w:p w14:paraId="6654EE96" w14:textId="77777777" w:rsidR="00745094" w:rsidRDefault="00000000">
      <w:pPr>
        <w:spacing w:before="120" w:after="60"/>
        <w:jc w:val="center"/>
      </w:pPr>
      <w:r>
        <w:rPr>
          <w:i/>
          <w:sz w:val="20"/>
        </w:rPr>
        <w:t>Рисунок 1. Концептуальная модель модерируемой медиации. T1 = момент времени 1; T2 = момент времени 2. Далее обозначения те же.</w:t>
      </w:r>
    </w:p>
    <w:p w14:paraId="6351D425" w14:textId="77777777" w:rsidR="00745094" w:rsidRDefault="00000000">
      <w:pPr>
        <w:spacing w:before="160" w:after="80"/>
      </w:pPr>
      <w:r>
        <w:rPr>
          <w:b/>
          <w:sz w:val="30"/>
        </w:rPr>
        <w:t>Методы</w:t>
      </w:r>
    </w:p>
    <w:p w14:paraId="55447F9C" w14:textId="77777777" w:rsidR="00745094" w:rsidRDefault="00000000">
      <w:pPr>
        <w:spacing w:before="120" w:after="80"/>
      </w:pPr>
      <w:r>
        <w:rPr>
          <w:b/>
          <w:sz w:val="26"/>
        </w:rPr>
        <w:t>Участники и процедура</w:t>
      </w:r>
    </w:p>
    <w:p w14:paraId="3FE05A4A" w14:textId="77777777" w:rsidR="00745094" w:rsidRDefault="00000000">
      <w:pPr>
        <w:spacing w:after="60" w:line="264" w:lineRule="auto"/>
        <w:ind w:firstLine="709"/>
        <w:jc w:val="both"/>
      </w:pPr>
      <w:r>
        <w:t>Данные были собраны в двух государственных средних школах Южного Китая. С использованием случайной кластерной выборки в лонгитюдное исследование были включены 1,023 подростка из 7-9 классов (505 мальчиков; Mage = 13.16 года, SD = 0.86), которые заполнили опросники. По различным причинам, например из-за перевода в другую школу, 30 участников выбыли из исследования (уровень выбытия = 2.93%). Большинство оставшихся подростков были из семей со средним экономическим уровнем (3.10% были из семей с уровнем ниже среднего и 1.85% - из семей с уровнем выше среднего). Кроме того, число подростков было примерно одинаковым в трех классах (35.75% обучались в 7 классе, 35.15% - в 8 классе и 29.10% - в 9 классе). Дополнительно в таблице 1 представлены некоторые описательные характеристики текущей выборки.</w:t>
      </w:r>
    </w:p>
    <w:p w14:paraId="1CF4A1D3" w14:textId="77777777" w:rsidR="00745094" w:rsidRDefault="00000000">
      <w:pPr>
        <w:spacing w:after="60" w:line="264" w:lineRule="auto"/>
        <w:ind w:firstLine="709"/>
        <w:jc w:val="both"/>
      </w:pPr>
      <w:r>
        <w:t>Все процедуры с участием людей были одобрены Комитетом по исследовательской этике Колледжа образования и спортивных наук Янцзыского университета. После получения устного согласия руководства школ и самих учащихся два исследователя с отрицательными результатами теста на COVID-19 проводили анкетирование участников; процедура занимала около получаса в рамках обычного учебного времени. Подростков побуждали отвечать честно, подчеркивая анонимность опросников. Процедуры были одинаковыми на обеих волнах, а интервал между двумя волнами сбора данных составлял 6 месяцев (T1, октябрь 2020 г.). Участие было полностью добровольным, и учащиеся не получали никакого вознаграждения за участие.</w:t>
      </w:r>
    </w:p>
    <w:p w14:paraId="6FF0E66E" w14:textId="77777777" w:rsidR="00745094" w:rsidRDefault="00000000">
      <w:pPr>
        <w:spacing w:before="120" w:after="60"/>
        <w:jc w:val="center"/>
      </w:pPr>
      <w:r>
        <w:rPr>
          <w:i/>
          <w:sz w:val="20"/>
        </w:rPr>
        <w:t>Таблица 1. Описательная статистика ковариат и ключевых переменных.</w:t>
      </w:r>
    </w:p>
    <w:tbl>
      <w:tblPr>
        <w:tblStyle w:val="aff0"/>
        <w:tblW w:w="0" w:type="auto"/>
        <w:jc w:val="center"/>
        <w:tblLayout w:type="fixed"/>
        <w:tblLook w:val="04A0" w:firstRow="1" w:lastRow="0" w:firstColumn="1" w:lastColumn="0" w:noHBand="0" w:noVBand="1"/>
      </w:tblPr>
      <w:tblGrid>
        <w:gridCol w:w="3685"/>
        <w:gridCol w:w="1169"/>
        <w:gridCol w:w="1169"/>
        <w:gridCol w:w="1169"/>
        <w:gridCol w:w="1169"/>
        <w:gridCol w:w="1169"/>
        <w:gridCol w:w="1169"/>
        <w:gridCol w:w="1169"/>
      </w:tblGrid>
      <w:tr w:rsidR="00745094" w14:paraId="3D22B607" w14:textId="77777777">
        <w:trPr>
          <w:jc w:val="center"/>
        </w:trPr>
        <w:tc>
          <w:tcPr>
            <w:tcW w:w="3685" w:type="dxa"/>
            <w:shd w:val="clear" w:color="auto" w:fill="D9E2F3"/>
            <w:tcMar>
              <w:top w:w="80" w:type="dxa"/>
              <w:left w:w="90" w:type="dxa"/>
              <w:bottom w:w="80" w:type="dxa"/>
              <w:right w:w="90" w:type="dxa"/>
            </w:tcMar>
            <w:vAlign w:val="center"/>
          </w:tcPr>
          <w:p w14:paraId="07C4EE72" w14:textId="77777777" w:rsidR="00745094" w:rsidRDefault="00000000">
            <w:pPr>
              <w:jc w:val="center"/>
            </w:pPr>
            <w:r>
              <w:rPr>
                <w:sz w:val="20"/>
              </w:rPr>
              <w:t>Показатель</w:t>
            </w:r>
          </w:p>
        </w:tc>
        <w:tc>
          <w:tcPr>
            <w:tcW w:w="907" w:type="dxa"/>
            <w:shd w:val="clear" w:color="auto" w:fill="D9E2F3"/>
            <w:tcMar>
              <w:top w:w="80" w:type="dxa"/>
              <w:left w:w="90" w:type="dxa"/>
              <w:bottom w:w="80" w:type="dxa"/>
              <w:right w:w="90" w:type="dxa"/>
            </w:tcMar>
            <w:vAlign w:val="center"/>
          </w:tcPr>
          <w:p w14:paraId="28FC2EDB" w14:textId="77777777" w:rsidR="00745094" w:rsidRDefault="00000000">
            <w:pPr>
              <w:jc w:val="center"/>
            </w:pPr>
            <w:r>
              <w:rPr>
                <w:sz w:val="20"/>
              </w:rPr>
              <w:t>Мальчики</w:t>
            </w:r>
            <w:r>
              <w:rPr>
                <w:sz w:val="20"/>
              </w:rPr>
              <w:br/>
              <w:t>M</w:t>
            </w:r>
          </w:p>
        </w:tc>
        <w:tc>
          <w:tcPr>
            <w:tcW w:w="907" w:type="dxa"/>
            <w:shd w:val="clear" w:color="auto" w:fill="D9E2F3"/>
            <w:tcMar>
              <w:top w:w="80" w:type="dxa"/>
              <w:left w:w="90" w:type="dxa"/>
              <w:bottom w:w="80" w:type="dxa"/>
              <w:right w:w="90" w:type="dxa"/>
            </w:tcMar>
            <w:vAlign w:val="center"/>
          </w:tcPr>
          <w:p w14:paraId="6D9E5E2C" w14:textId="77777777" w:rsidR="00745094" w:rsidRDefault="00000000">
            <w:pPr>
              <w:jc w:val="center"/>
            </w:pPr>
            <w:r>
              <w:rPr>
                <w:sz w:val="20"/>
              </w:rPr>
              <w:t>Мальчики</w:t>
            </w:r>
            <w:r>
              <w:rPr>
                <w:sz w:val="20"/>
              </w:rPr>
              <w:br/>
              <w:t>SD</w:t>
            </w:r>
          </w:p>
        </w:tc>
        <w:tc>
          <w:tcPr>
            <w:tcW w:w="907" w:type="dxa"/>
            <w:shd w:val="clear" w:color="auto" w:fill="D9E2F3"/>
            <w:tcMar>
              <w:top w:w="80" w:type="dxa"/>
              <w:left w:w="90" w:type="dxa"/>
              <w:bottom w:w="80" w:type="dxa"/>
              <w:right w:w="90" w:type="dxa"/>
            </w:tcMar>
            <w:vAlign w:val="center"/>
          </w:tcPr>
          <w:p w14:paraId="6F8FBD49" w14:textId="77777777" w:rsidR="00745094" w:rsidRDefault="00000000">
            <w:pPr>
              <w:jc w:val="center"/>
            </w:pPr>
            <w:r>
              <w:rPr>
                <w:sz w:val="20"/>
              </w:rPr>
              <w:t>Девочки</w:t>
            </w:r>
            <w:r>
              <w:rPr>
                <w:sz w:val="20"/>
              </w:rPr>
              <w:br/>
              <w:t>M</w:t>
            </w:r>
          </w:p>
        </w:tc>
        <w:tc>
          <w:tcPr>
            <w:tcW w:w="907" w:type="dxa"/>
            <w:shd w:val="clear" w:color="auto" w:fill="D9E2F3"/>
            <w:tcMar>
              <w:top w:w="80" w:type="dxa"/>
              <w:left w:w="90" w:type="dxa"/>
              <w:bottom w:w="80" w:type="dxa"/>
              <w:right w:w="90" w:type="dxa"/>
            </w:tcMar>
            <w:vAlign w:val="center"/>
          </w:tcPr>
          <w:p w14:paraId="785D8ABC" w14:textId="77777777" w:rsidR="00745094" w:rsidRDefault="00000000">
            <w:pPr>
              <w:jc w:val="center"/>
            </w:pPr>
            <w:r>
              <w:rPr>
                <w:sz w:val="20"/>
              </w:rPr>
              <w:t>Девочки</w:t>
            </w:r>
            <w:r>
              <w:rPr>
                <w:sz w:val="20"/>
              </w:rPr>
              <w:br/>
              <w:t>SD</w:t>
            </w:r>
          </w:p>
        </w:tc>
        <w:tc>
          <w:tcPr>
            <w:tcW w:w="907" w:type="dxa"/>
            <w:shd w:val="clear" w:color="auto" w:fill="D9E2F3"/>
            <w:tcMar>
              <w:top w:w="80" w:type="dxa"/>
              <w:left w:w="90" w:type="dxa"/>
              <w:bottom w:w="80" w:type="dxa"/>
              <w:right w:w="90" w:type="dxa"/>
            </w:tcMar>
            <w:vAlign w:val="center"/>
          </w:tcPr>
          <w:p w14:paraId="37A039D2" w14:textId="77777777" w:rsidR="00745094" w:rsidRDefault="00000000">
            <w:pPr>
              <w:jc w:val="center"/>
            </w:pPr>
            <w:r>
              <w:rPr>
                <w:sz w:val="20"/>
              </w:rPr>
              <w:t>Всего</w:t>
            </w:r>
            <w:r>
              <w:rPr>
                <w:sz w:val="20"/>
              </w:rPr>
              <w:br/>
              <w:t>M</w:t>
            </w:r>
          </w:p>
        </w:tc>
        <w:tc>
          <w:tcPr>
            <w:tcW w:w="907" w:type="dxa"/>
            <w:shd w:val="clear" w:color="auto" w:fill="D9E2F3"/>
            <w:tcMar>
              <w:top w:w="80" w:type="dxa"/>
              <w:left w:w="90" w:type="dxa"/>
              <w:bottom w:w="80" w:type="dxa"/>
              <w:right w:w="90" w:type="dxa"/>
            </w:tcMar>
            <w:vAlign w:val="center"/>
          </w:tcPr>
          <w:p w14:paraId="18D6F9F2" w14:textId="77777777" w:rsidR="00745094" w:rsidRDefault="00000000">
            <w:pPr>
              <w:jc w:val="center"/>
            </w:pPr>
            <w:r>
              <w:rPr>
                <w:sz w:val="20"/>
              </w:rPr>
              <w:t>Всего</w:t>
            </w:r>
            <w:r>
              <w:rPr>
                <w:sz w:val="20"/>
              </w:rPr>
              <w:br/>
              <w:t>SD</w:t>
            </w:r>
          </w:p>
        </w:tc>
        <w:tc>
          <w:tcPr>
            <w:tcW w:w="1077" w:type="dxa"/>
            <w:shd w:val="clear" w:color="auto" w:fill="D9E2F3"/>
            <w:tcMar>
              <w:top w:w="80" w:type="dxa"/>
              <w:left w:w="90" w:type="dxa"/>
              <w:bottom w:w="80" w:type="dxa"/>
              <w:right w:w="90" w:type="dxa"/>
            </w:tcMar>
            <w:vAlign w:val="center"/>
          </w:tcPr>
          <w:p w14:paraId="0A3F656D" w14:textId="77777777" w:rsidR="00745094" w:rsidRDefault="00000000">
            <w:pPr>
              <w:jc w:val="center"/>
            </w:pPr>
            <w:r>
              <w:rPr>
                <w:sz w:val="20"/>
              </w:rPr>
              <w:t>Диапазон</w:t>
            </w:r>
          </w:p>
        </w:tc>
      </w:tr>
      <w:tr w:rsidR="00745094" w14:paraId="5957166F" w14:textId="77777777">
        <w:trPr>
          <w:jc w:val="center"/>
        </w:trPr>
        <w:tc>
          <w:tcPr>
            <w:tcW w:w="9352" w:type="dxa"/>
            <w:gridSpan w:val="8"/>
            <w:shd w:val="clear" w:color="auto" w:fill="EAEAEA"/>
            <w:tcMar>
              <w:top w:w="80" w:type="dxa"/>
              <w:left w:w="90" w:type="dxa"/>
              <w:bottom w:w="80" w:type="dxa"/>
              <w:right w:w="90" w:type="dxa"/>
            </w:tcMar>
            <w:vAlign w:val="center"/>
          </w:tcPr>
          <w:p w14:paraId="77AE038E" w14:textId="77777777" w:rsidR="00745094" w:rsidRDefault="00000000">
            <w:pPr>
              <w:jc w:val="center"/>
            </w:pPr>
            <w:r>
              <w:rPr>
                <w:sz w:val="20"/>
              </w:rPr>
              <w:lastRenderedPageBreak/>
              <w:t>Ковариаты</w:t>
            </w:r>
          </w:p>
          <w:p w14:paraId="69CB56B2" w14:textId="77777777" w:rsidR="00745094" w:rsidRDefault="00745094">
            <w:pPr>
              <w:jc w:val="center"/>
            </w:pPr>
          </w:p>
          <w:p w14:paraId="38C9CB19" w14:textId="77777777" w:rsidR="00745094" w:rsidRDefault="00745094">
            <w:pPr>
              <w:jc w:val="center"/>
            </w:pPr>
          </w:p>
          <w:p w14:paraId="30814F28" w14:textId="77777777" w:rsidR="00745094" w:rsidRDefault="00745094">
            <w:pPr>
              <w:jc w:val="center"/>
            </w:pPr>
          </w:p>
          <w:p w14:paraId="6BC67989" w14:textId="77777777" w:rsidR="00745094" w:rsidRDefault="00745094">
            <w:pPr>
              <w:jc w:val="center"/>
            </w:pPr>
          </w:p>
          <w:p w14:paraId="38316BF7" w14:textId="77777777" w:rsidR="00745094" w:rsidRDefault="00745094">
            <w:pPr>
              <w:jc w:val="center"/>
            </w:pPr>
          </w:p>
          <w:p w14:paraId="5B07AB7C" w14:textId="77777777" w:rsidR="00745094" w:rsidRDefault="00745094">
            <w:pPr>
              <w:jc w:val="center"/>
            </w:pPr>
          </w:p>
          <w:p w14:paraId="504A9C32" w14:textId="77777777" w:rsidR="00745094" w:rsidRDefault="00745094">
            <w:pPr>
              <w:jc w:val="center"/>
            </w:pPr>
          </w:p>
        </w:tc>
      </w:tr>
      <w:tr w:rsidR="00745094" w14:paraId="4E121E45" w14:textId="77777777">
        <w:trPr>
          <w:jc w:val="center"/>
        </w:trPr>
        <w:tc>
          <w:tcPr>
            <w:tcW w:w="1169" w:type="dxa"/>
            <w:tcMar>
              <w:top w:w="80" w:type="dxa"/>
              <w:left w:w="90" w:type="dxa"/>
              <w:bottom w:w="80" w:type="dxa"/>
              <w:right w:w="90" w:type="dxa"/>
            </w:tcMar>
            <w:vAlign w:val="center"/>
          </w:tcPr>
          <w:p w14:paraId="7D048C38" w14:textId="77777777" w:rsidR="00745094" w:rsidRDefault="00000000">
            <w:pPr>
              <w:jc w:val="center"/>
            </w:pPr>
            <w:r>
              <w:rPr>
                <w:sz w:val="20"/>
              </w:rPr>
              <w:t>1. Возраст</w:t>
            </w:r>
          </w:p>
        </w:tc>
        <w:tc>
          <w:tcPr>
            <w:tcW w:w="1169" w:type="dxa"/>
            <w:tcMar>
              <w:top w:w="80" w:type="dxa"/>
              <w:left w:w="90" w:type="dxa"/>
              <w:bottom w:w="80" w:type="dxa"/>
              <w:right w:w="90" w:type="dxa"/>
            </w:tcMar>
            <w:vAlign w:val="center"/>
          </w:tcPr>
          <w:p w14:paraId="32842FC3" w14:textId="77777777" w:rsidR="00745094" w:rsidRDefault="00000000">
            <w:pPr>
              <w:jc w:val="center"/>
            </w:pPr>
            <w:r>
              <w:rPr>
                <w:sz w:val="20"/>
              </w:rPr>
              <w:t>13.23</w:t>
            </w:r>
          </w:p>
        </w:tc>
        <w:tc>
          <w:tcPr>
            <w:tcW w:w="1169" w:type="dxa"/>
            <w:tcMar>
              <w:top w:w="80" w:type="dxa"/>
              <w:left w:w="90" w:type="dxa"/>
              <w:bottom w:w="80" w:type="dxa"/>
              <w:right w:w="90" w:type="dxa"/>
            </w:tcMar>
            <w:vAlign w:val="center"/>
          </w:tcPr>
          <w:p w14:paraId="14292994" w14:textId="77777777" w:rsidR="00745094" w:rsidRDefault="00000000">
            <w:pPr>
              <w:jc w:val="center"/>
            </w:pPr>
            <w:r>
              <w:rPr>
                <w:sz w:val="20"/>
              </w:rPr>
              <w:t>0.88</w:t>
            </w:r>
          </w:p>
        </w:tc>
        <w:tc>
          <w:tcPr>
            <w:tcW w:w="1169" w:type="dxa"/>
            <w:tcMar>
              <w:top w:w="80" w:type="dxa"/>
              <w:left w:w="90" w:type="dxa"/>
              <w:bottom w:w="80" w:type="dxa"/>
              <w:right w:w="90" w:type="dxa"/>
            </w:tcMar>
            <w:vAlign w:val="center"/>
          </w:tcPr>
          <w:p w14:paraId="0A2CCF29" w14:textId="77777777" w:rsidR="00745094" w:rsidRDefault="00000000">
            <w:pPr>
              <w:jc w:val="center"/>
            </w:pPr>
            <w:r>
              <w:rPr>
                <w:sz w:val="20"/>
              </w:rPr>
              <w:t>13.09</w:t>
            </w:r>
          </w:p>
        </w:tc>
        <w:tc>
          <w:tcPr>
            <w:tcW w:w="1169" w:type="dxa"/>
            <w:tcMar>
              <w:top w:w="80" w:type="dxa"/>
              <w:left w:w="90" w:type="dxa"/>
              <w:bottom w:w="80" w:type="dxa"/>
              <w:right w:w="90" w:type="dxa"/>
            </w:tcMar>
            <w:vAlign w:val="center"/>
          </w:tcPr>
          <w:p w14:paraId="74141ACD" w14:textId="77777777" w:rsidR="00745094" w:rsidRDefault="00000000">
            <w:pPr>
              <w:jc w:val="center"/>
            </w:pPr>
            <w:r>
              <w:rPr>
                <w:sz w:val="20"/>
              </w:rPr>
              <w:t>0.84</w:t>
            </w:r>
          </w:p>
        </w:tc>
        <w:tc>
          <w:tcPr>
            <w:tcW w:w="1169" w:type="dxa"/>
            <w:tcMar>
              <w:top w:w="80" w:type="dxa"/>
              <w:left w:w="90" w:type="dxa"/>
              <w:bottom w:w="80" w:type="dxa"/>
              <w:right w:w="90" w:type="dxa"/>
            </w:tcMar>
            <w:vAlign w:val="center"/>
          </w:tcPr>
          <w:p w14:paraId="4255328B" w14:textId="77777777" w:rsidR="00745094" w:rsidRDefault="00000000">
            <w:pPr>
              <w:jc w:val="center"/>
            </w:pPr>
            <w:r>
              <w:rPr>
                <w:sz w:val="20"/>
              </w:rPr>
              <w:t>13.16</w:t>
            </w:r>
          </w:p>
        </w:tc>
        <w:tc>
          <w:tcPr>
            <w:tcW w:w="1169" w:type="dxa"/>
            <w:tcMar>
              <w:top w:w="80" w:type="dxa"/>
              <w:left w:w="90" w:type="dxa"/>
              <w:bottom w:w="80" w:type="dxa"/>
              <w:right w:w="90" w:type="dxa"/>
            </w:tcMar>
            <w:vAlign w:val="center"/>
          </w:tcPr>
          <w:p w14:paraId="5980D2F0" w14:textId="77777777" w:rsidR="00745094" w:rsidRDefault="00000000">
            <w:pPr>
              <w:jc w:val="center"/>
            </w:pPr>
            <w:r>
              <w:rPr>
                <w:sz w:val="20"/>
              </w:rPr>
              <w:t>0.86</w:t>
            </w:r>
          </w:p>
        </w:tc>
        <w:tc>
          <w:tcPr>
            <w:tcW w:w="1169" w:type="dxa"/>
            <w:tcMar>
              <w:top w:w="80" w:type="dxa"/>
              <w:left w:w="90" w:type="dxa"/>
              <w:bottom w:w="80" w:type="dxa"/>
              <w:right w:w="90" w:type="dxa"/>
            </w:tcMar>
            <w:vAlign w:val="center"/>
          </w:tcPr>
          <w:p w14:paraId="3E29363A" w14:textId="77777777" w:rsidR="00745094" w:rsidRDefault="00000000">
            <w:pPr>
              <w:jc w:val="center"/>
            </w:pPr>
            <w:r>
              <w:rPr>
                <w:sz w:val="20"/>
              </w:rPr>
              <w:t>11-15</w:t>
            </w:r>
          </w:p>
        </w:tc>
      </w:tr>
      <w:tr w:rsidR="00745094" w14:paraId="031E3B04" w14:textId="77777777">
        <w:trPr>
          <w:jc w:val="center"/>
        </w:trPr>
        <w:tc>
          <w:tcPr>
            <w:tcW w:w="1169" w:type="dxa"/>
            <w:tcMar>
              <w:top w:w="80" w:type="dxa"/>
              <w:left w:w="90" w:type="dxa"/>
              <w:bottom w:w="80" w:type="dxa"/>
              <w:right w:w="90" w:type="dxa"/>
            </w:tcMar>
            <w:vAlign w:val="center"/>
          </w:tcPr>
          <w:p w14:paraId="282016AF" w14:textId="77777777" w:rsidR="00745094" w:rsidRDefault="00000000">
            <w:pPr>
              <w:jc w:val="center"/>
            </w:pPr>
            <w:r>
              <w:rPr>
                <w:sz w:val="20"/>
              </w:rPr>
              <w:t>2. Тип семьи</w:t>
            </w:r>
          </w:p>
        </w:tc>
        <w:tc>
          <w:tcPr>
            <w:tcW w:w="1169" w:type="dxa"/>
            <w:tcMar>
              <w:top w:w="80" w:type="dxa"/>
              <w:left w:w="90" w:type="dxa"/>
              <w:bottom w:w="80" w:type="dxa"/>
              <w:right w:w="90" w:type="dxa"/>
            </w:tcMar>
            <w:vAlign w:val="center"/>
          </w:tcPr>
          <w:p w14:paraId="7212F457" w14:textId="77777777" w:rsidR="00745094" w:rsidRDefault="00000000">
            <w:pPr>
              <w:jc w:val="center"/>
            </w:pPr>
            <w:r>
              <w:rPr>
                <w:sz w:val="20"/>
              </w:rPr>
              <w:t>2.05</w:t>
            </w:r>
          </w:p>
        </w:tc>
        <w:tc>
          <w:tcPr>
            <w:tcW w:w="1169" w:type="dxa"/>
            <w:tcMar>
              <w:top w:w="80" w:type="dxa"/>
              <w:left w:w="90" w:type="dxa"/>
              <w:bottom w:w="80" w:type="dxa"/>
              <w:right w:w="90" w:type="dxa"/>
            </w:tcMar>
            <w:vAlign w:val="center"/>
          </w:tcPr>
          <w:p w14:paraId="5C34935B" w14:textId="77777777" w:rsidR="00745094" w:rsidRDefault="00000000">
            <w:pPr>
              <w:jc w:val="center"/>
            </w:pPr>
            <w:r>
              <w:rPr>
                <w:sz w:val="20"/>
              </w:rPr>
              <w:t>1.23</w:t>
            </w:r>
          </w:p>
        </w:tc>
        <w:tc>
          <w:tcPr>
            <w:tcW w:w="1169" w:type="dxa"/>
            <w:tcMar>
              <w:top w:w="80" w:type="dxa"/>
              <w:left w:w="90" w:type="dxa"/>
              <w:bottom w:w="80" w:type="dxa"/>
              <w:right w:w="90" w:type="dxa"/>
            </w:tcMar>
            <w:vAlign w:val="center"/>
          </w:tcPr>
          <w:p w14:paraId="6805FD85" w14:textId="77777777" w:rsidR="00745094" w:rsidRDefault="00000000">
            <w:pPr>
              <w:jc w:val="center"/>
            </w:pPr>
            <w:r>
              <w:rPr>
                <w:sz w:val="20"/>
              </w:rPr>
              <w:t>2.24</w:t>
            </w:r>
          </w:p>
        </w:tc>
        <w:tc>
          <w:tcPr>
            <w:tcW w:w="1169" w:type="dxa"/>
            <w:tcMar>
              <w:top w:w="80" w:type="dxa"/>
              <w:left w:w="90" w:type="dxa"/>
              <w:bottom w:w="80" w:type="dxa"/>
              <w:right w:w="90" w:type="dxa"/>
            </w:tcMar>
            <w:vAlign w:val="center"/>
          </w:tcPr>
          <w:p w14:paraId="48DBD3FF" w14:textId="77777777" w:rsidR="00745094" w:rsidRDefault="00000000">
            <w:pPr>
              <w:jc w:val="center"/>
            </w:pPr>
            <w:r>
              <w:rPr>
                <w:sz w:val="20"/>
              </w:rPr>
              <w:t>1.42</w:t>
            </w:r>
          </w:p>
        </w:tc>
        <w:tc>
          <w:tcPr>
            <w:tcW w:w="1169" w:type="dxa"/>
            <w:tcMar>
              <w:top w:w="80" w:type="dxa"/>
              <w:left w:w="90" w:type="dxa"/>
              <w:bottom w:w="80" w:type="dxa"/>
              <w:right w:w="90" w:type="dxa"/>
            </w:tcMar>
            <w:vAlign w:val="center"/>
          </w:tcPr>
          <w:p w14:paraId="3460C111" w14:textId="77777777" w:rsidR="00745094" w:rsidRDefault="00000000">
            <w:pPr>
              <w:jc w:val="center"/>
            </w:pPr>
            <w:r>
              <w:rPr>
                <w:sz w:val="20"/>
              </w:rPr>
              <w:t>2.15</w:t>
            </w:r>
          </w:p>
        </w:tc>
        <w:tc>
          <w:tcPr>
            <w:tcW w:w="1169" w:type="dxa"/>
            <w:tcMar>
              <w:top w:w="80" w:type="dxa"/>
              <w:left w:w="90" w:type="dxa"/>
              <w:bottom w:w="80" w:type="dxa"/>
              <w:right w:w="90" w:type="dxa"/>
            </w:tcMar>
            <w:vAlign w:val="center"/>
          </w:tcPr>
          <w:p w14:paraId="7EDB846F" w14:textId="77777777" w:rsidR="00745094" w:rsidRDefault="00000000">
            <w:pPr>
              <w:jc w:val="center"/>
            </w:pPr>
            <w:r>
              <w:rPr>
                <w:sz w:val="20"/>
              </w:rPr>
              <w:t>1.34</w:t>
            </w:r>
          </w:p>
        </w:tc>
        <w:tc>
          <w:tcPr>
            <w:tcW w:w="1169" w:type="dxa"/>
            <w:tcMar>
              <w:top w:w="80" w:type="dxa"/>
              <w:left w:w="90" w:type="dxa"/>
              <w:bottom w:w="80" w:type="dxa"/>
              <w:right w:w="90" w:type="dxa"/>
            </w:tcMar>
            <w:vAlign w:val="center"/>
          </w:tcPr>
          <w:p w14:paraId="46749FAB" w14:textId="77777777" w:rsidR="00745094" w:rsidRDefault="00000000">
            <w:pPr>
              <w:jc w:val="center"/>
            </w:pPr>
            <w:r>
              <w:rPr>
                <w:sz w:val="20"/>
              </w:rPr>
              <w:t>1-4</w:t>
            </w:r>
          </w:p>
        </w:tc>
      </w:tr>
      <w:tr w:rsidR="00745094" w14:paraId="3AB5D3DA" w14:textId="77777777">
        <w:trPr>
          <w:jc w:val="center"/>
        </w:trPr>
        <w:tc>
          <w:tcPr>
            <w:tcW w:w="1169" w:type="dxa"/>
            <w:tcMar>
              <w:top w:w="80" w:type="dxa"/>
              <w:left w:w="90" w:type="dxa"/>
              <w:bottom w:w="80" w:type="dxa"/>
              <w:right w:w="90" w:type="dxa"/>
            </w:tcMar>
            <w:vAlign w:val="center"/>
          </w:tcPr>
          <w:p w14:paraId="39CABE67" w14:textId="77777777" w:rsidR="00745094" w:rsidRDefault="00000000">
            <w:pPr>
              <w:jc w:val="center"/>
            </w:pPr>
            <w:r>
              <w:rPr>
                <w:sz w:val="20"/>
              </w:rPr>
              <w:t>3. Экономический статус семьи</w:t>
            </w:r>
          </w:p>
        </w:tc>
        <w:tc>
          <w:tcPr>
            <w:tcW w:w="1169" w:type="dxa"/>
            <w:tcMar>
              <w:top w:w="80" w:type="dxa"/>
              <w:left w:w="90" w:type="dxa"/>
              <w:bottom w:w="80" w:type="dxa"/>
              <w:right w:w="90" w:type="dxa"/>
            </w:tcMar>
            <w:vAlign w:val="center"/>
          </w:tcPr>
          <w:p w14:paraId="31F746DE" w14:textId="77777777" w:rsidR="00745094" w:rsidRDefault="00000000">
            <w:pPr>
              <w:jc w:val="center"/>
            </w:pPr>
            <w:r>
              <w:rPr>
                <w:sz w:val="20"/>
              </w:rPr>
              <w:t>1.99</w:t>
            </w:r>
          </w:p>
        </w:tc>
        <w:tc>
          <w:tcPr>
            <w:tcW w:w="1169" w:type="dxa"/>
            <w:tcMar>
              <w:top w:w="80" w:type="dxa"/>
              <w:left w:w="90" w:type="dxa"/>
              <w:bottom w:w="80" w:type="dxa"/>
              <w:right w:w="90" w:type="dxa"/>
            </w:tcMar>
            <w:vAlign w:val="center"/>
          </w:tcPr>
          <w:p w14:paraId="76668E22" w14:textId="77777777" w:rsidR="00745094" w:rsidRDefault="00000000">
            <w:pPr>
              <w:jc w:val="center"/>
            </w:pPr>
            <w:r>
              <w:rPr>
                <w:sz w:val="20"/>
              </w:rPr>
              <w:t>0.25</w:t>
            </w:r>
          </w:p>
        </w:tc>
        <w:tc>
          <w:tcPr>
            <w:tcW w:w="1169" w:type="dxa"/>
            <w:tcMar>
              <w:top w:w="80" w:type="dxa"/>
              <w:left w:w="90" w:type="dxa"/>
              <w:bottom w:w="80" w:type="dxa"/>
              <w:right w:w="90" w:type="dxa"/>
            </w:tcMar>
            <w:vAlign w:val="center"/>
          </w:tcPr>
          <w:p w14:paraId="5767A63C" w14:textId="77777777" w:rsidR="00745094" w:rsidRDefault="00000000">
            <w:pPr>
              <w:jc w:val="center"/>
            </w:pPr>
            <w:r>
              <w:rPr>
                <w:sz w:val="20"/>
              </w:rPr>
              <w:t>1.98</w:t>
            </w:r>
          </w:p>
        </w:tc>
        <w:tc>
          <w:tcPr>
            <w:tcW w:w="1169" w:type="dxa"/>
            <w:tcMar>
              <w:top w:w="80" w:type="dxa"/>
              <w:left w:w="90" w:type="dxa"/>
              <w:bottom w:w="80" w:type="dxa"/>
              <w:right w:w="90" w:type="dxa"/>
            </w:tcMar>
            <w:vAlign w:val="center"/>
          </w:tcPr>
          <w:p w14:paraId="3E613D9D" w14:textId="77777777" w:rsidR="00745094" w:rsidRDefault="00000000">
            <w:pPr>
              <w:jc w:val="center"/>
            </w:pPr>
            <w:r>
              <w:rPr>
                <w:sz w:val="20"/>
              </w:rPr>
              <w:t>0.19</w:t>
            </w:r>
          </w:p>
        </w:tc>
        <w:tc>
          <w:tcPr>
            <w:tcW w:w="1169" w:type="dxa"/>
            <w:tcMar>
              <w:top w:w="80" w:type="dxa"/>
              <w:left w:w="90" w:type="dxa"/>
              <w:bottom w:w="80" w:type="dxa"/>
              <w:right w:w="90" w:type="dxa"/>
            </w:tcMar>
            <w:vAlign w:val="center"/>
          </w:tcPr>
          <w:p w14:paraId="33858681" w14:textId="77777777" w:rsidR="00745094" w:rsidRDefault="00000000">
            <w:pPr>
              <w:jc w:val="center"/>
            </w:pPr>
            <w:r>
              <w:rPr>
                <w:sz w:val="20"/>
              </w:rPr>
              <w:t>1.99</w:t>
            </w:r>
          </w:p>
        </w:tc>
        <w:tc>
          <w:tcPr>
            <w:tcW w:w="1169" w:type="dxa"/>
            <w:tcMar>
              <w:top w:w="80" w:type="dxa"/>
              <w:left w:w="90" w:type="dxa"/>
              <w:bottom w:w="80" w:type="dxa"/>
              <w:right w:w="90" w:type="dxa"/>
            </w:tcMar>
            <w:vAlign w:val="center"/>
          </w:tcPr>
          <w:p w14:paraId="2485CDDE" w14:textId="77777777" w:rsidR="00745094" w:rsidRDefault="00000000">
            <w:pPr>
              <w:jc w:val="center"/>
            </w:pPr>
            <w:r>
              <w:rPr>
                <w:sz w:val="20"/>
              </w:rPr>
              <w:t>0.22</w:t>
            </w:r>
          </w:p>
        </w:tc>
        <w:tc>
          <w:tcPr>
            <w:tcW w:w="1169" w:type="dxa"/>
            <w:tcMar>
              <w:top w:w="80" w:type="dxa"/>
              <w:left w:w="90" w:type="dxa"/>
              <w:bottom w:w="80" w:type="dxa"/>
              <w:right w:w="90" w:type="dxa"/>
            </w:tcMar>
            <w:vAlign w:val="center"/>
          </w:tcPr>
          <w:p w14:paraId="3C3790AB" w14:textId="77777777" w:rsidR="00745094" w:rsidRDefault="00000000">
            <w:pPr>
              <w:jc w:val="center"/>
            </w:pPr>
            <w:r>
              <w:rPr>
                <w:sz w:val="20"/>
              </w:rPr>
              <w:t>1-3</w:t>
            </w:r>
          </w:p>
        </w:tc>
      </w:tr>
      <w:tr w:rsidR="00745094" w14:paraId="75AE739B" w14:textId="77777777">
        <w:trPr>
          <w:jc w:val="center"/>
        </w:trPr>
        <w:tc>
          <w:tcPr>
            <w:tcW w:w="9352" w:type="dxa"/>
            <w:gridSpan w:val="8"/>
            <w:shd w:val="clear" w:color="auto" w:fill="EAEAEA"/>
            <w:tcMar>
              <w:top w:w="80" w:type="dxa"/>
              <w:left w:w="90" w:type="dxa"/>
              <w:bottom w:w="80" w:type="dxa"/>
              <w:right w:w="90" w:type="dxa"/>
            </w:tcMar>
            <w:vAlign w:val="center"/>
          </w:tcPr>
          <w:p w14:paraId="6C8D22F7" w14:textId="77777777" w:rsidR="00745094" w:rsidRDefault="00000000">
            <w:pPr>
              <w:jc w:val="center"/>
            </w:pPr>
            <w:r>
              <w:rPr>
                <w:sz w:val="20"/>
              </w:rPr>
              <w:t>Ключевые переменные</w:t>
            </w:r>
          </w:p>
          <w:p w14:paraId="7D835696" w14:textId="77777777" w:rsidR="00745094" w:rsidRDefault="00745094">
            <w:pPr>
              <w:jc w:val="center"/>
            </w:pPr>
          </w:p>
          <w:p w14:paraId="329DB83F" w14:textId="77777777" w:rsidR="00745094" w:rsidRDefault="00745094">
            <w:pPr>
              <w:jc w:val="center"/>
            </w:pPr>
          </w:p>
          <w:p w14:paraId="67B2172F" w14:textId="77777777" w:rsidR="00745094" w:rsidRDefault="00745094">
            <w:pPr>
              <w:jc w:val="center"/>
            </w:pPr>
          </w:p>
          <w:p w14:paraId="36305F29" w14:textId="77777777" w:rsidR="00745094" w:rsidRDefault="00745094">
            <w:pPr>
              <w:jc w:val="center"/>
            </w:pPr>
          </w:p>
          <w:p w14:paraId="78BF6FBF" w14:textId="77777777" w:rsidR="00745094" w:rsidRDefault="00745094">
            <w:pPr>
              <w:jc w:val="center"/>
            </w:pPr>
          </w:p>
          <w:p w14:paraId="632EFA01" w14:textId="77777777" w:rsidR="00745094" w:rsidRDefault="00745094">
            <w:pPr>
              <w:jc w:val="center"/>
            </w:pPr>
          </w:p>
          <w:p w14:paraId="1C39EFBA" w14:textId="77777777" w:rsidR="00745094" w:rsidRDefault="00745094">
            <w:pPr>
              <w:jc w:val="center"/>
            </w:pPr>
          </w:p>
        </w:tc>
      </w:tr>
      <w:tr w:rsidR="00745094" w14:paraId="5C21D144" w14:textId="77777777">
        <w:trPr>
          <w:jc w:val="center"/>
        </w:trPr>
        <w:tc>
          <w:tcPr>
            <w:tcW w:w="1169" w:type="dxa"/>
            <w:tcMar>
              <w:top w:w="80" w:type="dxa"/>
              <w:left w:w="90" w:type="dxa"/>
              <w:bottom w:w="80" w:type="dxa"/>
              <w:right w:w="90" w:type="dxa"/>
            </w:tcMar>
            <w:vAlign w:val="center"/>
          </w:tcPr>
          <w:p w14:paraId="4095F4A0" w14:textId="77777777" w:rsidR="00745094" w:rsidRDefault="00000000">
            <w:pPr>
              <w:jc w:val="center"/>
            </w:pPr>
            <w:r>
              <w:rPr>
                <w:sz w:val="20"/>
              </w:rPr>
              <w:t>4. T1 CDAI</w:t>
            </w:r>
          </w:p>
        </w:tc>
        <w:tc>
          <w:tcPr>
            <w:tcW w:w="1169" w:type="dxa"/>
            <w:tcMar>
              <w:top w:w="80" w:type="dxa"/>
              <w:left w:w="90" w:type="dxa"/>
              <w:bottom w:w="80" w:type="dxa"/>
              <w:right w:w="90" w:type="dxa"/>
            </w:tcMar>
            <w:vAlign w:val="center"/>
          </w:tcPr>
          <w:p w14:paraId="53D66694" w14:textId="77777777" w:rsidR="00745094" w:rsidRDefault="00000000">
            <w:pPr>
              <w:jc w:val="center"/>
            </w:pPr>
            <w:r>
              <w:rPr>
                <w:sz w:val="20"/>
              </w:rPr>
              <w:t>2.60</w:t>
            </w:r>
          </w:p>
        </w:tc>
        <w:tc>
          <w:tcPr>
            <w:tcW w:w="1169" w:type="dxa"/>
            <w:tcMar>
              <w:top w:w="80" w:type="dxa"/>
              <w:left w:w="90" w:type="dxa"/>
              <w:bottom w:w="80" w:type="dxa"/>
              <w:right w:w="90" w:type="dxa"/>
            </w:tcMar>
            <w:vAlign w:val="center"/>
          </w:tcPr>
          <w:p w14:paraId="632A2E67" w14:textId="77777777" w:rsidR="00745094" w:rsidRDefault="00000000">
            <w:pPr>
              <w:jc w:val="center"/>
            </w:pPr>
            <w:r>
              <w:rPr>
                <w:sz w:val="20"/>
              </w:rPr>
              <w:t>2.42</w:t>
            </w:r>
          </w:p>
        </w:tc>
        <w:tc>
          <w:tcPr>
            <w:tcW w:w="1169" w:type="dxa"/>
            <w:tcMar>
              <w:top w:w="80" w:type="dxa"/>
              <w:left w:w="90" w:type="dxa"/>
              <w:bottom w:w="80" w:type="dxa"/>
              <w:right w:w="90" w:type="dxa"/>
            </w:tcMar>
            <w:vAlign w:val="center"/>
          </w:tcPr>
          <w:p w14:paraId="6443222C" w14:textId="77777777" w:rsidR="00745094" w:rsidRDefault="00000000">
            <w:pPr>
              <w:jc w:val="center"/>
            </w:pPr>
            <w:r>
              <w:rPr>
                <w:sz w:val="20"/>
              </w:rPr>
              <w:t>2.486</w:t>
            </w:r>
          </w:p>
        </w:tc>
        <w:tc>
          <w:tcPr>
            <w:tcW w:w="1169" w:type="dxa"/>
            <w:tcMar>
              <w:top w:w="80" w:type="dxa"/>
              <w:left w:w="90" w:type="dxa"/>
              <w:bottom w:w="80" w:type="dxa"/>
              <w:right w:w="90" w:type="dxa"/>
            </w:tcMar>
            <w:vAlign w:val="center"/>
          </w:tcPr>
          <w:p w14:paraId="7E82DC61" w14:textId="77777777" w:rsidR="00745094" w:rsidRDefault="00000000">
            <w:pPr>
              <w:jc w:val="center"/>
            </w:pPr>
            <w:r>
              <w:rPr>
                <w:sz w:val="20"/>
              </w:rPr>
              <w:t>2.35</w:t>
            </w:r>
          </w:p>
        </w:tc>
        <w:tc>
          <w:tcPr>
            <w:tcW w:w="1169" w:type="dxa"/>
            <w:tcMar>
              <w:top w:w="80" w:type="dxa"/>
              <w:left w:w="90" w:type="dxa"/>
              <w:bottom w:w="80" w:type="dxa"/>
              <w:right w:w="90" w:type="dxa"/>
            </w:tcMar>
            <w:vAlign w:val="center"/>
          </w:tcPr>
          <w:p w14:paraId="7D4D72BD" w14:textId="77777777" w:rsidR="00745094" w:rsidRDefault="00000000">
            <w:pPr>
              <w:jc w:val="center"/>
            </w:pPr>
            <w:r>
              <w:rPr>
                <w:sz w:val="20"/>
              </w:rPr>
              <w:t>2.54</w:t>
            </w:r>
          </w:p>
        </w:tc>
        <w:tc>
          <w:tcPr>
            <w:tcW w:w="1169" w:type="dxa"/>
            <w:tcMar>
              <w:top w:w="80" w:type="dxa"/>
              <w:left w:w="90" w:type="dxa"/>
              <w:bottom w:w="80" w:type="dxa"/>
              <w:right w:w="90" w:type="dxa"/>
            </w:tcMar>
            <w:vAlign w:val="center"/>
          </w:tcPr>
          <w:p w14:paraId="1F37C675" w14:textId="77777777" w:rsidR="00745094" w:rsidRDefault="00000000">
            <w:pPr>
              <w:jc w:val="center"/>
            </w:pPr>
            <w:r>
              <w:rPr>
                <w:sz w:val="20"/>
              </w:rPr>
              <w:t>2.38</w:t>
            </w:r>
          </w:p>
        </w:tc>
        <w:tc>
          <w:tcPr>
            <w:tcW w:w="1169" w:type="dxa"/>
            <w:tcMar>
              <w:top w:w="80" w:type="dxa"/>
              <w:left w:w="90" w:type="dxa"/>
              <w:bottom w:w="80" w:type="dxa"/>
              <w:right w:w="90" w:type="dxa"/>
            </w:tcMar>
            <w:vAlign w:val="center"/>
          </w:tcPr>
          <w:p w14:paraId="39C52B7B" w14:textId="77777777" w:rsidR="00745094" w:rsidRDefault="00000000">
            <w:pPr>
              <w:jc w:val="center"/>
            </w:pPr>
            <w:r>
              <w:rPr>
                <w:sz w:val="20"/>
              </w:rPr>
              <w:t>0-8</w:t>
            </w:r>
          </w:p>
        </w:tc>
      </w:tr>
      <w:tr w:rsidR="00745094" w14:paraId="1F6897C9" w14:textId="77777777">
        <w:trPr>
          <w:jc w:val="center"/>
        </w:trPr>
        <w:tc>
          <w:tcPr>
            <w:tcW w:w="1169" w:type="dxa"/>
            <w:tcMar>
              <w:top w:w="80" w:type="dxa"/>
              <w:left w:w="90" w:type="dxa"/>
              <w:bottom w:w="80" w:type="dxa"/>
              <w:right w:w="90" w:type="dxa"/>
            </w:tcMar>
            <w:vAlign w:val="center"/>
          </w:tcPr>
          <w:p w14:paraId="186617C4" w14:textId="77777777" w:rsidR="00745094" w:rsidRDefault="00000000">
            <w:pPr>
              <w:jc w:val="center"/>
            </w:pPr>
            <w:r>
              <w:rPr>
                <w:sz w:val="20"/>
              </w:rPr>
              <w:t>5. T1 SC</w:t>
            </w:r>
          </w:p>
        </w:tc>
        <w:tc>
          <w:tcPr>
            <w:tcW w:w="1169" w:type="dxa"/>
            <w:tcMar>
              <w:top w:w="80" w:type="dxa"/>
              <w:left w:w="90" w:type="dxa"/>
              <w:bottom w:w="80" w:type="dxa"/>
              <w:right w:w="90" w:type="dxa"/>
            </w:tcMar>
            <w:vAlign w:val="center"/>
          </w:tcPr>
          <w:p w14:paraId="1FAA698F" w14:textId="77777777" w:rsidR="00745094" w:rsidRDefault="00000000">
            <w:pPr>
              <w:jc w:val="center"/>
            </w:pPr>
            <w:r>
              <w:rPr>
                <w:sz w:val="20"/>
              </w:rPr>
              <w:t>40.13</w:t>
            </w:r>
          </w:p>
        </w:tc>
        <w:tc>
          <w:tcPr>
            <w:tcW w:w="1169" w:type="dxa"/>
            <w:tcMar>
              <w:top w:w="80" w:type="dxa"/>
              <w:left w:w="90" w:type="dxa"/>
              <w:bottom w:w="80" w:type="dxa"/>
              <w:right w:w="90" w:type="dxa"/>
            </w:tcMar>
            <w:vAlign w:val="center"/>
          </w:tcPr>
          <w:p w14:paraId="67A064FE" w14:textId="77777777" w:rsidR="00745094" w:rsidRDefault="00000000">
            <w:pPr>
              <w:jc w:val="center"/>
            </w:pPr>
            <w:r>
              <w:rPr>
                <w:sz w:val="20"/>
              </w:rPr>
              <w:t>7.03</w:t>
            </w:r>
          </w:p>
        </w:tc>
        <w:tc>
          <w:tcPr>
            <w:tcW w:w="1169" w:type="dxa"/>
            <w:tcMar>
              <w:top w:w="80" w:type="dxa"/>
              <w:left w:w="90" w:type="dxa"/>
              <w:bottom w:w="80" w:type="dxa"/>
              <w:right w:w="90" w:type="dxa"/>
            </w:tcMar>
            <w:vAlign w:val="center"/>
          </w:tcPr>
          <w:p w14:paraId="0F4F6082" w14:textId="77777777" w:rsidR="00745094" w:rsidRDefault="00000000">
            <w:pPr>
              <w:jc w:val="center"/>
            </w:pPr>
            <w:r>
              <w:rPr>
                <w:sz w:val="20"/>
              </w:rPr>
              <w:t>39.82</w:t>
            </w:r>
          </w:p>
        </w:tc>
        <w:tc>
          <w:tcPr>
            <w:tcW w:w="1169" w:type="dxa"/>
            <w:tcMar>
              <w:top w:w="80" w:type="dxa"/>
              <w:left w:w="90" w:type="dxa"/>
              <w:bottom w:w="80" w:type="dxa"/>
              <w:right w:w="90" w:type="dxa"/>
            </w:tcMar>
            <w:vAlign w:val="center"/>
          </w:tcPr>
          <w:p w14:paraId="733614D8" w14:textId="77777777" w:rsidR="00745094" w:rsidRDefault="00000000">
            <w:pPr>
              <w:jc w:val="center"/>
            </w:pPr>
            <w:r>
              <w:rPr>
                <w:sz w:val="20"/>
              </w:rPr>
              <w:t>6.96</w:t>
            </w:r>
          </w:p>
        </w:tc>
        <w:tc>
          <w:tcPr>
            <w:tcW w:w="1169" w:type="dxa"/>
            <w:tcMar>
              <w:top w:w="80" w:type="dxa"/>
              <w:left w:w="90" w:type="dxa"/>
              <w:bottom w:w="80" w:type="dxa"/>
              <w:right w:w="90" w:type="dxa"/>
            </w:tcMar>
            <w:vAlign w:val="center"/>
          </w:tcPr>
          <w:p w14:paraId="7CCA9674" w14:textId="77777777" w:rsidR="00745094" w:rsidRDefault="00000000">
            <w:pPr>
              <w:jc w:val="center"/>
            </w:pPr>
            <w:r>
              <w:rPr>
                <w:sz w:val="20"/>
              </w:rPr>
              <w:t>39.97</w:t>
            </w:r>
          </w:p>
        </w:tc>
        <w:tc>
          <w:tcPr>
            <w:tcW w:w="1169" w:type="dxa"/>
            <w:tcMar>
              <w:top w:w="80" w:type="dxa"/>
              <w:left w:w="90" w:type="dxa"/>
              <w:bottom w:w="80" w:type="dxa"/>
              <w:right w:w="90" w:type="dxa"/>
            </w:tcMar>
            <w:vAlign w:val="center"/>
          </w:tcPr>
          <w:p w14:paraId="02FAE73E" w14:textId="77777777" w:rsidR="00745094" w:rsidRDefault="00000000">
            <w:pPr>
              <w:jc w:val="center"/>
            </w:pPr>
            <w:r>
              <w:rPr>
                <w:sz w:val="20"/>
              </w:rPr>
              <w:t>6.99</w:t>
            </w:r>
          </w:p>
        </w:tc>
        <w:tc>
          <w:tcPr>
            <w:tcW w:w="1169" w:type="dxa"/>
            <w:tcMar>
              <w:top w:w="80" w:type="dxa"/>
              <w:left w:w="90" w:type="dxa"/>
              <w:bottom w:w="80" w:type="dxa"/>
              <w:right w:w="90" w:type="dxa"/>
            </w:tcMar>
            <w:vAlign w:val="center"/>
          </w:tcPr>
          <w:p w14:paraId="6E85D5D1" w14:textId="77777777" w:rsidR="00745094" w:rsidRDefault="00000000">
            <w:pPr>
              <w:jc w:val="center"/>
            </w:pPr>
            <w:r>
              <w:rPr>
                <w:sz w:val="20"/>
              </w:rPr>
              <w:t>17-63</w:t>
            </w:r>
          </w:p>
        </w:tc>
      </w:tr>
      <w:tr w:rsidR="00745094" w14:paraId="14B8D89B" w14:textId="77777777">
        <w:trPr>
          <w:jc w:val="center"/>
        </w:trPr>
        <w:tc>
          <w:tcPr>
            <w:tcW w:w="1169" w:type="dxa"/>
            <w:tcMar>
              <w:top w:w="80" w:type="dxa"/>
              <w:left w:w="90" w:type="dxa"/>
              <w:bottom w:w="80" w:type="dxa"/>
              <w:right w:w="90" w:type="dxa"/>
            </w:tcMar>
            <w:vAlign w:val="center"/>
          </w:tcPr>
          <w:p w14:paraId="0A93B0CC" w14:textId="77777777" w:rsidR="00745094" w:rsidRDefault="00000000">
            <w:pPr>
              <w:jc w:val="center"/>
            </w:pPr>
            <w:r>
              <w:rPr>
                <w:sz w:val="20"/>
              </w:rPr>
              <w:t>6. T2 IGD</w:t>
            </w:r>
          </w:p>
        </w:tc>
        <w:tc>
          <w:tcPr>
            <w:tcW w:w="1169" w:type="dxa"/>
            <w:tcMar>
              <w:top w:w="80" w:type="dxa"/>
              <w:left w:w="90" w:type="dxa"/>
              <w:bottom w:w="80" w:type="dxa"/>
              <w:right w:w="90" w:type="dxa"/>
            </w:tcMar>
            <w:vAlign w:val="center"/>
          </w:tcPr>
          <w:p w14:paraId="5EF22D1E" w14:textId="77777777" w:rsidR="00745094" w:rsidRDefault="00000000">
            <w:pPr>
              <w:jc w:val="center"/>
            </w:pPr>
            <w:r>
              <w:rPr>
                <w:sz w:val="20"/>
              </w:rPr>
              <w:t>15.79</w:t>
            </w:r>
          </w:p>
        </w:tc>
        <w:tc>
          <w:tcPr>
            <w:tcW w:w="1169" w:type="dxa"/>
            <w:tcMar>
              <w:top w:w="80" w:type="dxa"/>
              <w:left w:w="90" w:type="dxa"/>
              <w:bottom w:w="80" w:type="dxa"/>
              <w:right w:w="90" w:type="dxa"/>
            </w:tcMar>
            <w:vAlign w:val="center"/>
          </w:tcPr>
          <w:p w14:paraId="0BB9BBC8" w14:textId="77777777" w:rsidR="00745094" w:rsidRDefault="00000000">
            <w:pPr>
              <w:jc w:val="center"/>
            </w:pPr>
            <w:r>
              <w:rPr>
                <w:sz w:val="20"/>
              </w:rPr>
              <w:t>3.71</w:t>
            </w:r>
          </w:p>
        </w:tc>
        <w:tc>
          <w:tcPr>
            <w:tcW w:w="1169" w:type="dxa"/>
            <w:tcMar>
              <w:top w:w="80" w:type="dxa"/>
              <w:left w:w="90" w:type="dxa"/>
              <w:bottom w:w="80" w:type="dxa"/>
              <w:right w:w="90" w:type="dxa"/>
            </w:tcMar>
            <w:vAlign w:val="center"/>
          </w:tcPr>
          <w:p w14:paraId="6F65A000" w14:textId="77777777" w:rsidR="00745094" w:rsidRDefault="00000000">
            <w:pPr>
              <w:jc w:val="center"/>
            </w:pPr>
            <w:r>
              <w:rPr>
                <w:sz w:val="20"/>
              </w:rPr>
              <w:t>15.23</w:t>
            </w:r>
          </w:p>
        </w:tc>
        <w:tc>
          <w:tcPr>
            <w:tcW w:w="1169" w:type="dxa"/>
            <w:tcMar>
              <w:top w:w="80" w:type="dxa"/>
              <w:left w:w="90" w:type="dxa"/>
              <w:bottom w:w="80" w:type="dxa"/>
              <w:right w:w="90" w:type="dxa"/>
            </w:tcMar>
            <w:vAlign w:val="center"/>
          </w:tcPr>
          <w:p w14:paraId="28B8109E" w14:textId="77777777" w:rsidR="00745094" w:rsidRDefault="00000000">
            <w:pPr>
              <w:jc w:val="center"/>
            </w:pPr>
            <w:r>
              <w:rPr>
                <w:sz w:val="20"/>
              </w:rPr>
              <w:t>3.45</w:t>
            </w:r>
          </w:p>
        </w:tc>
        <w:tc>
          <w:tcPr>
            <w:tcW w:w="1169" w:type="dxa"/>
            <w:tcMar>
              <w:top w:w="80" w:type="dxa"/>
              <w:left w:w="90" w:type="dxa"/>
              <w:bottom w:w="80" w:type="dxa"/>
              <w:right w:w="90" w:type="dxa"/>
            </w:tcMar>
            <w:vAlign w:val="center"/>
          </w:tcPr>
          <w:p w14:paraId="3862578A" w14:textId="77777777" w:rsidR="00745094" w:rsidRDefault="00000000">
            <w:pPr>
              <w:jc w:val="center"/>
            </w:pPr>
            <w:r>
              <w:rPr>
                <w:sz w:val="20"/>
              </w:rPr>
              <w:t>15.51</w:t>
            </w:r>
          </w:p>
        </w:tc>
        <w:tc>
          <w:tcPr>
            <w:tcW w:w="1169" w:type="dxa"/>
            <w:tcMar>
              <w:top w:w="80" w:type="dxa"/>
              <w:left w:w="90" w:type="dxa"/>
              <w:bottom w:w="80" w:type="dxa"/>
              <w:right w:w="90" w:type="dxa"/>
            </w:tcMar>
            <w:vAlign w:val="center"/>
          </w:tcPr>
          <w:p w14:paraId="2FC51051" w14:textId="77777777" w:rsidR="00745094" w:rsidRDefault="00000000">
            <w:pPr>
              <w:jc w:val="center"/>
            </w:pPr>
            <w:r>
              <w:rPr>
                <w:sz w:val="20"/>
              </w:rPr>
              <w:t>3.59</w:t>
            </w:r>
          </w:p>
        </w:tc>
        <w:tc>
          <w:tcPr>
            <w:tcW w:w="1169" w:type="dxa"/>
            <w:tcMar>
              <w:top w:w="80" w:type="dxa"/>
              <w:left w:w="90" w:type="dxa"/>
              <w:bottom w:w="80" w:type="dxa"/>
              <w:right w:w="90" w:type="dxa"/>
            </w:tcMar>
            <w:vAlign w:val="center"/>
          </w:tcPr>
          <w:p w14:paraId="360FBC55" w14:textId="77777777" w:rsidR="00745094" w:rsidRDefault="00000000">
            <w:pPr>
              <w:jc w:val="center"/>
            </w:pPr>
            <w:r>
              <w:rPr>
                <w:sz w:val="20"/>
              </w:rPr>
              <w:t>11-32</w:t>
            </w:r>
          </w:p>
        </w:tc>
      </w:tr>
    </w:tbl>
    <w:p w14:paraId="125A6FFA" w14:textId="77777777" w:rsidR="00745094" w:rsidRDefault="00000000">
      <w:pPr>
        <w:spacing w:after="160"/>
      </w:pPr>
      <w:r>
        <w:rPr>
          <w:i/>
          <w:sz w:val="20"/>
        </w:rPr>
        <w:t>Примечание. CDAI - кумулятивный индекс ресурсов развития; SC - самоконтроль; IGD - интернет-игровое расстройство.</w:t>
      </w:r>
    </w:p>
    <w:p w14:paraId="3286901B" w14:textId="77777777" w:rsidR="00745094" w:rsidRDefault="00000000">
      <w:pPr>
        <w:spacing w:before="120" w:after="80"/>
      </w:pPr>
      <w:r>
        <w:rPr>
          <w:b/>
          <w:sz w:val="26"/>
        </w:rPr>
        <w:t>Методики</w:t>
      </w:r>
    </w:p>
    <w:p w14:paraId="6F531DD1" w14:textId="77777777" w:rsidR="00745094" w:rsidRDefault="00000000">
      <w:pPr>
        <w:spacing w:before="120" w:after="80"/>
      </w:pPr>
      <w:r>
        <w:rPr>
          <w:b/>
          <w:sz w:val="26"/>
        </w:rPr>
        <w:t>Ресурсы развития в момент T1</w:t>
      </w:r>
    </w:p>
    <w:p w14:paraId="62ABDC1A" w14:textId="77777777" w:rsidR="00745094" w:rsidRDefault="00000000">
      <w:pPr>
        <w:spacing w:after="60" w:line="264" w:lineRule="auto"/>
        <w:ind w:firstLine="709"/>
        <w:jc w:val="both"/>
      </w:pPr>
      <w:r>
        <w:t>В настоящем исследовании для оценки ресурсов развития подростков использовался Профиль ресурсов развития (Developmental Assets Profile, DAP) (63). Он состоит из восьми подшкал и включает в общей сложности 58 пунктов (например, в подшкале поддержки: «У меня есть школа, которой небезразличны дети и которая поощряет их»). Все пункты оценивались по четырехбалльной шкале от «1 = совсем нет или редко» до «4 = чрезвычайно часто или почти всегда». Суммарный показатель ресурсов развития рассчитывался как сумма баллов по всем подшкалам. Данный опросник продемонстрировал хорошую надежность и валидность на выборке китайских подростков (64). В настоящем исследовании коэффициент альфа Кронбаха в момент T1 составил 0.95.</w:t>
      </w:r>
    </w:p>
    <w:p w14:paraId="7627B0FA" w14:textId="77777777" w:rsidR="00745094" w:rsidRDefault="00000000">
      <w:pPr>
        <w:spacing w:after="60" w:line="264" w:lineRule="auto"/>
        <w:ind w:firstLine="709"/>
        <w:jc w:val="both"/>
      </w:pPr>
      <w:r>
        <w:t xml:space="preserve">Опираясь на предыдущие исследования (29, 64), авторы приняли решение использовать кумулятивный индекс ресурсов развития (CDAI) для отражения широты ресурсов развития. На основании среднего ответа по пунктам в качестве порогового значения было выбрано «3 = очень или часто» (что указывает на наличие у учащихся большого числа ресурсов развития), после чего восемь подшкал были бинарно рекодированы. Порогом служило значение, равное или превышающее число пунктов в подшкале, умноженное на три. Значение подшкалы кодировалось единицей, если подросток обладал данным типом ресурса развития; в противном случае присваивался ноль, показывающий отсутствие данного типа ресурса. Затем суммы по всем </w:t>
      </w:r>
      <w:r>
        <w:lastRenderedPageBreak/>
        <w:t>рекодированным подшкалам складывались, образуя кумулятивный индекс ресурсов развития.</w:t>
      </w:r>
    </w:p>
    <w:p w14:paraId="6BBD575C" w14:textId="77777777" w:rsidR="00745094" w:rsidRDefault="00000000">
      <w:pPr>
        <w:spacing w:before="120" w:after="80"/>
      </w:pPr>
      <w:r>
        <w:rPr>
          <w:b/>
          <w:sz w:val="26"/>
        </w:rPr>
        <w:t>Самоконтроль в момент T1</w:t>
      </w:r>
    </w:p>
    <w:p w14:paraId="59CD5DE1" w14:textId="77777777" w:rsidR="00745094" w:rsidRDefault="00000000">
      <w:pPr>
        <w:spacing w:after="60" w:line="264" w:lineRule="auto"/>
        <w:ind w:firstLine="709"/>
        <w:jc w:val="both"/>
      </w:pPr>
      <w:r>
        <w:t>Для оценки самоконтроля подростков использовалась 13-пунктовая Краткая шкала самоконтроля (Brief Self-Control Scale, BSCS) (35) (например: «Удовольствия и развлечения иногда мешают мне выполнять работу»). Все пункты оценивались по пятибалльной шкале от «1 = совсем не похоже на меня» до «5 = очень похоже на меня». Итоговый балл BSCS представлял собой сумму ответов по всем пунктам; более высокий балл указывал на более развитую способность к самоконтролю. На выборке китайских подростков данная шкала продемонстрировала хорошую надежность и валидность (65). В настоящем исследовании коэффициент альфа Кронбаха в момент T1 составил 0.71.</w:t>
      </w:r>
    </w:p>
    <w:p w14:paraId="36976B83" w14:textId="77777777" w:rsidR="00745094" w:rsidRDefault="00000000">
      <w:pPr>
        <w:spacing w:before="120" w:after="80"/>
      </w:pPr>
      <w:r>
        <w:rPr>
          <w:b/>
          <w:sz w:val="26"/>
        </w:rPr>
        <w:t>Интернет-игровое расстройство в момент T2</w:t>
      </w:r>
    </w:p>
    <w:p w14:paraId="6A045435" w14:textId="77777777" w:rsidR="00745094" w:rsidRDefault="00000000">
      <w:pPr>
        <w:spacing w:after="60" w:line="264" w:lineRule="auto"/>
        <w:ind w:firstLine="709"/>
        <w:jc w:val="both"/>
      </w:pPr>
      <w:r>
        <w:t>Для измерения IGD у подростков использовался 11-пунктовый Опросник интернет-игрового расстройства (Internet Gaming Disorder Questionnaire, IGDQ) (66) (например: «Бывает ли, что вы не делаете домашнее задание, чтобы провести больше времени за онлайн-играми?»). Все пункты оценивались по трехбалльной шкале от «1 = никогда» до «3 = часто». Итоговый показатель IGDQ представлял собой средний балл по всем пунктам; более высокие значения указывали на более высокий уровень IGD. На выборке китайских подростков данный опросник показал хорошую надежность и валидность (66). В настоящем исследовании коэффициент альфа Кронбаха в момент T2 составил 0.77.</w:t>
      </w:r>
    </w:p>
    <w:p w14:paraId="431F6A5E" w14:textId="77777777" w:rsidR="00745094" w:rsidRDefault="00000000">
      <w:pPr>
        <w:spacing w:before="120" w:after="80"/>
      </w:pPr>
      <w:r>
        <w:rPr>
          <w:b/>
          <w:sz w:val="26"/>
        </w:rPr>
        <w:t>Демографические показатели</w:t>
      </w:r>
    </w:p>
    <w:p w14:paraId="27406E51" w14:textId="77777777" w:rsidR="00745094" w:rsidRDefault="00000000">
      <w:pPr>
        <w:spacing w:after="60" w:line="264" w:lineRule="auto"/>
        <w:ind w:firstLine="709"/>
        <w:jc w:val="both"/>
      </w:pPr>
      <w:r>
        <w:t>На обеих волнах исследования также собирались демографические данные, включая возраст подростков, пол (1 = мальчики, 2 = девочки), класс, тип семьи (1 = родители с одним ребенком, 2 = родители с более чем одним ребенком, 3 = неполная семья с одним ребенком, 4 = неполная семья с более чем одним ребенком) и экономический статус семьи (1 = ниже среднего уровня, 2 = на среднем уровне, 3 = выше среднего уровня).</w:t>
      </w:r>
    </w:p>
    <w:p w14:paraId="6DD4EEEB" w14:textId="77777777" w:rsidR="00745094" w:rsidRDefault="00000000">
      <w:pPr>
        <w:spacing w:before="120" w:after="80"/>
      </w:pPr>
      <w:r>
        <w:rPr>
          <w:b/>
          <w:sz w:val="26"/>
        </w:rPr>
        <w:t>Анализ данных</w:t>
      </w:r>
    </w:p>
    <w:p w14:paraId="1CDE90E1" w14:textId="77777777" w:rsidR="00745094" w:rsidRDefault="00000000">
      <w:pPr>
        <w:spacing w:after="60" w:line="264" w:lineRule="auto"/>
        <w:ind w:firstLine="709"/>
        <w:jc w:val="both"/>
      </w:pPr>
      <w:r>
        <w:t xml:space="preserve">На первом этапе с использованием SPSS 26.0 были проведены анализ выбывания участников и анализ общего методического смещения. На втором этапе были рассчитаны описательные статистики и корреляции между ключевыми переменными для проверки гипотезы 1. На третьем этапе в Mplus 8.0 (67) с помощью моделирования структурными уравнениями (SEM) и многогруппового анализа проверялись медиативная модель и модель модерируемой медиации. Для проверки гипотезы 2 была построена медиативная модель, оценивающая медиирующий эффект самоконтроля в момент T1 во взаимосвязи между ресурсами развития в момент T1 и IGD в момент T2. Затем для проверки гипотезы 3 был выполнен многогрупповой анализ, позволяющий оценить возможный модерирующий эффект пола в медиативной модели. В исследовании оценивались несколько индексов соответствия модели, включая значения хи-квадрат, число степеней свободы, среднеквадратичную ошибку аппроксимации (RMSEA; приемлемо &lt; 0.08, хорошо &lt; 0.05), индекс сравнительного соответствия (CFI; приемлемо &gt; 0.90, хорошо &gt; 0.95), индекс Такера-Льюиса (TLI; приемлемо &gt; 0.90, хорошо &gt; 0.95) и стандартизованный корень среднеквадратичного остатка (SRMR; приемлемо &lt; 0.08, хорошо &lt; 0.05) (68). Во </w:t>
      </w:r>
      <w:r>
        <w:lastRenderedPageBreak/>
        <w:t>всех моделях настоящего исследования пропущенные данные обрабатывались методом полного информационного максимального правдоподобия (FIML) (69).</w:t>
      </w:r>
    </w:p>
    <w:p w14:paraId="2168C39C" w14:textId="77777777" w:rsidR="00745094" w:rsidRDefault="00000000">
      <w:pPr>
        <w:spacing w:before="160" w:after="80"/>
      </w:pPr>
      <w:r>
        <w:rPr>
          <w:b/>
          <w:sz w:val="30"/>
        </w:rPr>
        <w:t>Результаты</w:t>
      </w:r>
    </w:p>
    <w:p w14:paraId="4B24F02B" w14:textId="77777777" w:rsidR="00745094" w:rsidRDefault="00000000">
      <w:pPr>
        <w:spacing w:before="120" w:after="80"/>
      </w:pPr>
      <w:r>
        <w:rPr>
          <w:b/>
          <w:sz w:val="26"/>
        </w:rPr>
        <w:t>Анализ выбывания участников и анализ общего методического смещения</w:t>
      </w:r>
    </w:p>
    <w:p w14:paraId="631E79CF" w14:textId="77777777" w:rsidR="00745094" w:rsidRDefault="00000000">
      <w:pPr>
        <w:spacing w:after="60" w:line="264" w:lineRule="auto"/>
        <w:ind w:firstLine="709"/>
        <w:jc w:val="both"/>
      </w:pPr>
      <w:r>
        <w:t>Перед проведением последующих анализов в SPSS 26 были выполнены критерии хи-квадрат и t-критерии для оценки возможного смещения между участниками, выбывшими ко второму моменту измерения, и теми, кто предоставил данные в обеих временных точках. Результаты показали, что эти две группы не различались по ресурсам развития в момент T1 [t(28) = 0.96, p = 0.346], самоконтролю в момент T1 [t(29) = 1.06, p = 0.299], IGD в момент T2 [t(1,017) = -0.83, p = 0.409], полу [χ2(1) = 1.08, p = 0.298], типу семьи [χ2(5) = 5.02, p = 0.413] и экономическому статусу семьи [χ2(2) = 0.56, p = 0.756], что свидетельствует об отсутствии смещения набора данных вследствие выбывания участников.</w:t>
      </w:r>
    </w:p>
    <w:p w14:paraId="2333F263" w14:textId="77777777" w:rsidR="00745094" w:rsidRDefault="00000000">
      <w:pPr>
        <w:spacing w:after="60" w:line="264" w:lineRule="auto"/>
        <w:ind w:firstLine="709"/>
        <w:jc w:val="both"/>
      </w:pPr>
      <w:r>
        <w:t>Во-вторых, для контроля возможной общей методической дисперсии в настоящем исследовании использовались опросники с обратными пунктами и различными типами вариантов ответа по шкалам (70). Кроме того, для ее проверки был проведен однофакторный тест Хармана (71). Результаты показали наличие 25 факторов с собственными значениями больше единицы, причем на первый фактор приходилось 16.19% общей дисперсии, что указывает на то, что результаты настоящего исследования в меньшей степени были подвержены общему методическому смещению.</w:t>
      </w:r>
    </w:p>
    <w:p w14:paraId="1AE680EE" w14:textId="77777777" w:rsidR="00745094" w:rsidRDefault="00000000">
      <w:pPr>
        <w:spacing w:before="120" w:after="80"/>
      </w:pPr>
      <w:r>
        <w:rPr>
          <w:b/>
          <w:sz w:val="26"/>
        </w:rPr>
        <w:t>Описательная статистика и корреляционный анализ</w:t>
      </w:r>
    </w:p>
    <w:p w14:paraId="17ECF072" w14:textId="77777777" w:rsidR="00745094" w:rsidRDefault="00000000">
      <w:pPr>
        <w:spacing w:after="60" w:line="264" w:lineRule="auto"/>
        <w:ind w:firstLine="709"/>
        <w:jc w:val="both"/>
      </w:pPr>
      <w:r>
        <w:t>В таблице 2 представлены значения асимметрии, эксцесса и межкорреляции всех переменных. В частности, самоконтроль в момент T1 положительно ассоциировался с CDAI в момент T1 (r = 0.28, 95% CI = [0.219, 0.335]) и экономическим статусом семьи (r = 0.10, 95% CI = [0.036, 0.164]), тогда как отрицательно был связан с IGD в момент T2 (r = -0.19, 95% CI = [-0.256, -0.123]) и типом семьи (r = -0.11, 95% CI = [-0.161, -0.043]). Кроме того, IGD в момент T2 отрицательно ассоциировался с CDAI в момент T1 (r = -0.11, 95% CI = [-0.172, -0.054]), экономическим статусом семьи (r = -0.11, 95% CI = [-0.191, -0.017]) и полом (r = -0.08, 95% CI = [-0.136, -0.013]).</w:t>
      </w:r>
    </w:p>
    <w:p w14:paraId="77D111EA" w14:textId="77777777" w:rsidR="00745094" w:rsidRDefault="00000000">
      <w:pPr>
        <w:spacing w:before="120" w:after="60"/>
        <w:jc w:val="center"/>
      </w:pPr>
      <w:r>
        <w:rPr>
          <w:i/>
          <w:sz w:val="20"/>
        </w:rPr>
        <w:t>Таблица 2. Асимметрия, эксцесс и межкорреляции ковариат и ключевых переменных.</w:t>
      </w:r>
    </w:p>
    <w:tbl>
      <w:tblPr>
        <w:tblStyle w:val="aff0"/>
        <w:tblW w:w="0" w:type="auto"/>
        <w:jc w:val="center"/>
        <w:tblLayout w:type="fixed"/>
        <w:tblLook w:val="04A0" w:firstRow="1" w:lastRow="0" w:firstColumn="1" w:lastColumn="0" w:noHBand="0" w:noVBand="1"/>
      </w:tblPr>
      <w:tblGrid>
        <w:gridCol w:w="3175"/>
        <w:gridCol w:w="1169"/>
        <w:gridCol w:w="1169"/>
        <w:gridCol w:w="1169"/>
        <w:gridCol w:w="1169"/>
        <w:gridCol w:w="1169"/>
        <w:gridCol w:w="1169"/>
        <w:gridCol w:w="1169"/>
      </w:tblGrid>
      <w:tr w:rsidR="00745094" w14:paraId="2C8002CB" w14:textId="77777777">
        <w:trPr>
          <w:jc w:val="center"/>
        </w:trPr>
        <w:tc>
          <w:tcPr>
            <w:tcW w:w="3175" w:type="dxa"/>
            <w:shd w:val="clear" w:color="auto" w:fill="D9E2F3"/>
            <w:tcMar>
              <w:top w:w="80" w:type="dxa"/>
              <w:left w:w="90" w:type="dxa"/>
              <w:bottom w:w="80" w:type="dxa"/>
              <w:right w:w="90" w:type="dxa"/>
            </w:tcMar>
            <w:vAlign w:val="center"/>
          </w:tcPr>
          <w:p w14:paraId="2AA9294F" w14:textId="77777777" w:rsidR="00745094" w:rsidRDefault="00000000">
            <w:pPr>
              <w:jc w:val="center"/>
            </w:pPr>
            <w:r>
              <w:rPr>
                <w:sz w:val="20"/>
              </w:rPr>
              <w:t>Переменная</w:t>
            </w:r>
          </w:p>
        </w:tc>
        <w:tc>
          <w:tcPr>
            <w:tcW w:w="1134" w:type="dxa"/>
            <w:shd w:val="clear" w:color="auto" w:fill="D9E2F3"/>
            <w:tcMar>
              <w:top w:w="80" w:type="dxa"/>
              <w:left w:w="90" w:type="dxa"/>
              <w:bottom w:w="80" w:type="dxa"/>
              <w:right w:w="90" w:type="dxa"/>
            </w:tcMar>
            <w:vAlign w:val="center"/>
          </w:tcPr>
          <w:p w14:paraId="36A2735F" w14:textId="77777777" w:rsidR="00745094" w:rsidRDefault="00000000">
            <w:pPr>
              <w:jc w:val="center"/>
            </w:pPr>
            <w:r>
              <w:rPr>
                <w:sz w:val="20"/>
              </w:rPr>
              <w:t>Асимметрия</w:t>
            </w:r>
          </w:p>
        </w:tc>
        <w:tc>
          <w:tcPr>
            <w:tcW w:w="1134" w:type="dxa"/>
            <w:shd w:val="clear" w:color="auto" w:fill="D9E2F3"/>
            <w:tcMar>
              <w:top w:w="80" w:type="dxa"/>
              <w:left w:w="90" w:type="dxa"/>
              <w:bottom w:w="80" w:type="dxa"/>
              <w:right w:w="90" w:type="dxa"/>
            </w:tcMar>
            <w:vAlign w:val="center"/>
          </w:tcPr>
          <w:p w14:paraId="1130DBC8" w14:textId="77777777" w:rsidR="00745094" w:rsidRDefault="00000000">
            <w:pPr>
              <w:jc w:val="center"/>
            </w:pPr>
            <w:r>
              <w:rPr>
                <w:sz w:val="20"/>
              </w:rPr>
              <w:t>Эксцесс</w:t>
            </w:r>
          </w:p>
        </w:tc>
        <w:tc>
          <w:tcPr>
            <w:tcW w:w="794" w:type="dxa"/>
            <w:shd w:val="clear" w:color="auto" w:fill="D9E2F3"/>
            <w:tcMar>
              <w:top w:w="80" w:type="dxa"/>
              <w:left w:w="90" w:type="dxa"/>
              <w:bottom w:w="80" w:type="dxa"/>
              <w:right w:w="90" w:type="dxa"/>
            </w:tcMar>
            <w:vAlign w:val="center"/>
          </w:tcPr>
          <w:p w14:paraId="1A6C3A16" w14:textId="77777777" w:rsidR="00745094" w:rsidRDefault="00000000">
            <w:pPr>
              <w:jc w:val="center"/>
            </w:pPr>
            <w:r>
              <w:rPr>
                <w:sz w:val="20"/>
              </w:rPr>
              <w:t>1</w:t>
            </w:r>
          </w:p>
        </w:tc>
        <w:tc>
          <w:tcPr>
            <w:tcW w:w="794" w:type="dxa"/>
            <w:shd w:val="clear" w:color="auto" w:fill="D9E2F3"/>
            <w:tcMar>
              <w:top w:w="80" w:type="dxa"/>
              <w:left w:w="90" w:type="dxa"/>
              <w:bottom w:w="80" w:type="dxa"/>
              <w:right w:w="90" w:type="dxa"/>
            </w:tcMar>
            <w:vAlign w:val="center"/>
          </w:tcPr>
          <w:p w14:paraId="44FD1AD6" w14:textId="77777777" w:rsidR="00745094" w:rsidRDefault="00000000">
            <w:pPr>
              <w:jc w:val="center"/>
            </w:pPr>
            <w:r>
              <w:rPr>
                <w:sz w:val="20"/>
              </w:rPr>
              <w:t>2</w:t>
            </w:r>
          </w:p>
        </w:tc>
        <w:tc>
          <w:tcPr>
            <w:tcW w:w="794" w:type="dxa"/>
            <w:shd w:val="clear" w:color="auto" w:fill="D9E2F3"/>
            <w:tcMar>
              <w:top w:w="80" w:type="dxa"/>
              <w:left w:w="90" w:type="dxa"/>
              <w:bottom w:w="80" w:type="dxa"/>
              <w:right w:w="90" w:type="dxa"/>
            </w:tcMar>
            <w:vAlign w:val="center"/>
          </w:tcPr>
          <w:p w14:paraId="3CFB4A1A" w14:textId="77777777" w:rsidR="00745094" w:rsidRDefault="00000000">
            <w:pPr>
              <w:jc w:val="center"/>
            </w:pPr>
            <w:r>
              <w:rPr>
                <w:sz w:val="20"/>
              </w:rPr>
              <w:t>3</w:t>
            </w:r>
          </w:p>
        </w:tc>
        <w:tc>
          <w:tcPr>
            <w:tcW w:w="794" w:type="dxa"/>
            <w:shd w:val="clear" w:color="auto" w:fill="D9E2F3"/>
            <w:tcMar>
              <w:top w:w="80" w:type="dxa"/>
              <w:left w:w="90" w:type="dxa"/>
              <w:bottom w:w="80" w:type="dxa"/>
              <w:right w:w="90" w:type="dxa"/>
            </w:tcMar>
            <w:vAlign w:val="center"/>
          </w:tcPr>
          <w:p w14:paraId="0F56906E" w14:textId="77777777" w:rsidR="00745094" w:rsidRDefault="00000000">
            <w:pPr>
              <w:jc w:val="center"/>
            </w:pPr>
            <w:r>
              <w:rPr>
                <w:sz w:val="20"/>
              </w:rPr>
              <w:t>4</w:t>
            </w:r>
          </w:p>
        </w:tc>
        <w:tc>
          <w:tcPr>
            <w:tcW w:w="794" w:type="dxa"/>
            <w:shd w:val="clear" w:color="auto" w:fill="D9E2F3"/>
            <w:tcMar>
              <w:top w:w="80" w:type="dxa"/>
              <w:left w:w="90" w:type="dxa"/>
              <w:bottom w:w="80" w:type="dxa"/>
              <w:right w:w="90" w:type="dxa"/>
            </w:tcMar>
            <w:vAlign w:val="center"/>
          </w:tcPr>
          <w:p w14:paraId="06EF7C4B" w14:textId="77777777" w:rsidR="00745094" w:rsidRDefault="00000000">
            <w:pPr>
              <w:jc w:val="center"/>
            </w:pPr>
            <w:r>
              <w:rPr>
                <w:sz w:val="20"/>
              </w:rPr>
              <w:t>5</w:t>
            </w:r>
          </w:p>
        </w:tc>
      </w:tr>
      <w:tr w:rsidR="00745094" w14:paraId="56E94584" w14:textId="77777777">
        <w:trPr>
          <w:jc w:val="center"/>
        </w:trPr>
        <w:tc>
          <w:tcPr>
            <w:tcW w:w="9352" w:type="dxa"/>
            <w:gridSpan w:val="8"/>
            <w:shd w:val="clear" w:color="auto" w:fill="EAEAEA"/>
            <w:tcMar>
              <w:top w:w="80" w:type="dxa"/>
              <w:left w:w="90" w:type="dxa"/>
              <w:bottom w:w="80" w:type="dxa"/>
              <w:right w:w="90" w:type="dxa"/>
            </w:tcMar>
            <w:vAlign w:val="center"/>
          </w:tcPr>
          <w:p w14:paraId="45F7EC67" w14:textId="77777777" w:rsidR="00745094" w:rsidRDefault="00000000">
            <w:pPr>
              <w:jc w:val="center"/>
            </w:pPr>
            <w:r>
              <w:rPr>
                <w:sz w:val="20"/>
              </w:rPr>
              <w:t>Ковариаты</w:t>
            </w:r>
          </w:p>
          <w:p w14:paraId="53351045" w14:textId="77777777" w:rsidR="00745094" w:rsidRDefault="00745094">
            <w:pPr>
              <w:jc w:val="center"/>
            </w:pPr>
          </w:p>
          <w:p w14:paraId="35BE13A3" w14:textId="77777777" w:rsidR="00745094" w:rsidRDefault="00745094">
            <w:pPr>
              <w:jc w:val="center"/>
            </w:pPr>
          </w:p>
          <w:p w14:paraId="5804359F" w14:textId="77777777" w:rsidR="00745094" w:rsidRDefault="00745094">
            <w:pPr>
              <w:jc w:val="center"/>
            </w:pPr>
          </w:p>
          <w:p w14:paraId="3489F3B2" w14:textId="77777777" w:rsidR="00745094" w:rsidRDefault="00745094">
            <w:pPr>
              <w:jc w:val="center"/>
            </w:pPr>
          </w:p>
          <w:p w14:paraId="2B56D2D3" w14:textId="77777777" w:rsidR="00745094" w:rsidRDefault="00745094">
            <w:pPr>
              <w:jc w:val="center"/>
            </w:pPr>
          </w:p>
          <w:p w14:paraId="3CE2B65A" w14:textId="77777777" w:rsidR="00745094" w:rsidRDefault="00745094">
            <w:pPr>
              <w:jc w:val="center"/>
            </w:pPr>
          </w:p>
          <w:p w14:paraId="607A8265" w14:textId="77777777" w:rsidR="00745094" w:rsidRDefault="00745094">
            <w:pPr>
              <w:jc w:val="center"/>
            </w:pPr>
          </w:p>
        </w:tc>
      </w:tr>
      <w:tr w:rsidR="00745094" w14:paraId="1FEE8B2B" w14:textId="77777777">
        <w:trPr>
          <w:jc w:val="center"/>
        </w:trPr>
        <w:tc>
          <w:tcPr>
            <w:tcW w:w="1169" w:type="dxa"/>
            <w:tcMar>
              <w:top w:w="80" w:type="dxa"/>
              <w:left w:w="90" w:type="dxa"/>
              <w:bottom w:w="80" w:type="dxa"/>
              <w:right w:w="90" w:type="dxa"/>
            </w:tcMar>
            <w:vAlign w:val="center"/>
          </w:tcPr>
          <w:p w14:paraId="4E1CB736" w14:textId="77777777" w:rsidR="00745094" w:rsidRDefault="00000000">
            <w:pPr>
              <w:jc w:val="center"/>
            </w:pPr>
            <w:r>
              <w:rPr>
                <w:sz w:val="20"/>
              </w:rPr>
              <w:t>1. Пол</w:t>
            </w:r>
          </w:p>
        </w:tc>
        <w:tc>
          <w:tcPr>
            <w:tcW w:w="1169" w:type="dxa"/>
            <w:tcMar>
              <w:top w:w="80" w:type="dxa"/>
              <w:left w:w="90" w:type="dxa"/>
              <w:bottom w:w="80" w:type="dxa"/>
              <w:right w:w="90" w:type="dxa"/>
            </w:tcMar>
            <w:vAlign w:val="center"/>
          </w:tcPr>
          <w:p w14:paraId="3EAD7FCA" w14:textId="77777777" w:rsidR="00745094" w:rsidRDefault="00000000">
            <w:pPr>
              <w:jc w:val="center"/>
            </w:pPr>
            <w:r>
              <w:rPr>
                <w:sz w:val="20"/>
              </w:rPr>
              <w:t>-0.01</w:t>
            </w:r>
          </w:p>
        </w:tc>
        <w:tc>
          <w:tcPr>
            <w:tcW w:w="1169" w:type="dxa"/>
            <w:tcMar>
              <w:top w:w="80" w:type="dxa"/>
              <w:left w:w="90" w:type="dxa"/>
              <w:bottom w:w="80" w:type="dxa"/>
              <w:right w:w="90" w:type="dxa"/>
            </w:tcMar>
            <w:vAlign w:val="center"/>
          </w:tcPr>
          <w:p w14:paraId="210C34D0" w14:textId="77777777" w:rsidR="00745094" w:rsidRDefault="00000000">
            <w:pPr>
              <w:jc w:val="center"/>
            </w:pPr>
            <w:r>
              <w:rPr>
                <w:sz w:val="20"/>
              </w:rPr>
              <w:t>-2.00</w:t>
            </w:r>
          </w:p>
        </w:tc>
        <w:tc>
          <w:tcPr>
            <w:tcW w:w="1169" w:type="dxa"/>
            <w:tcMar>
              <w:top w:w="80" w:type="dxa"/>
              <w:left w:w="90" w:type="dxa"/>
              <w:bottom w:w="80" w:type="dxa"/>
              <w:right w:w="90" w:type="dxa"/>
            </w:tcMar>
            <w:vAlign w:val="center"/>
          </w:tcPr>
          <w:p w14:paraId="6C52CD87" w14:textId="77777777" w:rsidR="00745094" w:rsidRDefault="00745094">
            <w:pPr>
              <w:jc w:val="center"/>
            </w:pPr>
          </w:p>
        </w:tc>
        <w:tc>
          <w:tcPr>
            <w:tcW w:w="1169" w:type="dxa"/>
            <w:tcMar>
              <w:top w:w="80" w:type="dxa"/>
              <w:left w:w="90" w:type="dxa"/>
              <w:bottom w:w="80" w:type="dxa"/>
              <w:right w:w="90" w:type="dxa"/>
            </w:tcMar>
            <w:vAlign w:val="center"/>
          </w:tcPr>
          <w:p w14:paraId="3FA39633" w14:textId="77777777" w:rsidR="00745094" w:rsidRDefault="00745094">
            <w:pPr>
              <w:jc w:val="center"/>
            </w:pPr>
          </w:p>
        </w:tc>
        <w:tc>
          <w:tcPr>
            <w:tcW w:w="1169" w:type="dxa"/>
            <w:tcMar>
              <w:top w:w="80" w:type="dxa"/>
              <w:left w:w="90" w:type="dxa"/>
              <w:bottom w:w="80" w:type="dxa"/>
              <w:right w:w="90" w:type="dxa"/>
            </w:tcMar>
            <w:vAlign w:val="center"/>
          </w:tcPr>
          <w:p w14:paraId="01C5FA6C" w14:textId="77777777" w:rsidR="00745094" w:rsidRDefault="00745094">
            <w:pPr>
              <w:jc w:val="center"/>
            </w:pPr>
          </w:p>
        </w:tc>
        <w:tc>
          <w:tcPr>
            <w:tcW w:w="1169" w:type="dxa"/>
            <w:tcMar>
              <w:top w:w="80" w:type="dxa"/>
              <w:left w:w="90" w:type="dxa"/>
              <w:bottom w:w="80" w:type="dxa"/>
              <w:right w:w="90" w:type="dxa"/>
            </w:tcMar>
            <w:vAlign w:val="center"/>
          </w:tcPr>
          <w:p w14:paraId="2324B72F" w14:textId="77777777" w:rsidR="00745094" w:rsidRDefault="00745094">
            <w:pPr>
              <w:jc w:val="center"/>
            </w:pPr>
          </w:p>
        </w:tc>
        <w:tc>
          <w:tcPr>
            <w:tcW w:w="1169" w:type="dxa"/>
            <w:tcMar>
              <w:top w:w="80" w:type="dxa"/>
              <w:left w:w="90" w:type="dxa"/>
              <w:bottom w:w="80" w:type="dxa"/>
              <w:right w:w="90" w:type="dxa"/>
            </w:tcMar>
            <w:vAlign w:val="center"/>
          </w:tcPr>
          <w:p w14:paraId="52945786" w14:textId="77777777" w:rsidR="00745094" w:rsidRDefault="00745094">
            <w:pPr>
              <w:jc w:val="center"/>
            </w:pPr>
          </w:p>
        </w:tc>
      </w:tr>
      <w:tr w:rsidR="00745094" w14:paraId="25990514" w14:textId="77777777">
        <w:trPr>
          <w:jc w:val="center"/>
        </w:trPr>
        <w:tc>
          <w:tcPr>
            <w:tcW w:w="1169" w:type="dxa"/>
            <w:tcMar>
              <w:top w:w="80" w:type="dxa"/>
              <w:left w:w="90" w:type="dxa"/>
              <w:bottom w:w="80" w:type="dxa"/>
              <w:right w:w="90" w:type="dxa"/>
            </w:tcMar>
            <w:vAlign w:val="center"/>
          </w:tcPr>
          <w:p w14:paraId="1D5DC225" w14:textId="77777777" w:rsidR="00745094" w:rsidRDefault="00000000">
            <w:pPr>
              <w:jc w:val="center"/>
            </w:pPr>
            <w:r>
              <w:rPr>
                <w:sz w:val="20"/>
              </w:rPr>
              <w:t>2. Тип семьи</w:t>
            </w:r>
          </w:p>
        </w:tc>
        <w:tc>
          <w:tcPr>
            <w:tcW w:w="1169" w:type="dxa"/>
            <w:tcMar>
              <w:top w:w="80" w:type="dxa"/>
              <w:left w:w="90" w:type="dxa"/>
              <w:bottom w:w="80" w:type="dxa"/>
              <w:right w:w="90" w:type="dxa"/>
            </w:tcMar>
            <w:vAlign w:val="center"/>
          </w:tcPr>
          <w:p w14:paraId="30EDD0E5" w14:textId="77777777" w:rsidR="00745094" w:rsidRDefault="00000000">
            <w:pPr>
              <w:jc w:val="center"/>
            </w:pPr>
            <w:r>
              <w:rPr>
                <w:sz w:val="20"/>
              </w:rPr>
              <w:t>1.10</w:t>
            </w:r>
          </w:p>
        </w:tc>
        <w:tc>
          <w:tcPr>
            <w:tcW w:w="1169" w:type="dxa"/>
            <w:tcMar>
              <w:top w:w="80" w:type="dxa"/>
              <w:left w:w="90" w:type="dxa"/>
              <w:bottom w:w="80" w:type="dxa"/>
              <w:right w:w="90" w:type="dxa"/>
            </w:tcMar>
            <w:vAlign w:val="center"/>
          </w:tcPr>
          <w:p w14:paraId="2E73B7A9" w14:textId="77777777" w:rsidR="00745094" w:rsidRDefault="00000000">
            <w:pPr>
              <w:jc w:val="center"/>
            </w:pPr>
            <w:r>
              <w:rPr>
                <w:sz w:val="20"/>
              </w:rPr>
              <w:t>0.51</w:t>
            </w:r>
          </w:p>
        </w:tc>
        <w:tc>
          <w:tcPr>
            <w:tcW w:w="1169" w:type="dxa"/>
            <w:tcMar>
              <w:top w:w="80" w:type="dxa"/>
              <w:left w:w="90" w:type="dxa"/>
              <w:bottom w:w="80" w:type="dxa"/>
              <w:right w:w="90" w:type="dxa"/>
            </w:tcMar>
            <w:vAlign w:val="center"/>
          </w:tcPr>
          <w:p w14:paraId="28599966" w14:textId="77777777" w:rsidR="00745094" w:rsidRDefault="00000000">
            <w:pPr>
              <w:jc w:val="center"/>
            </w:pPr>
            <w:r>
              <w:rPr>
                <w:sz w:val="20"/>
              </w:rPr>
              <w:t>0.07*</w:t>
            </w:r>
          </w:p>
        </w:tc>
        <w:tc>
          <w:tcPr>
            <w:tcW w:w="1169" w:type="dxa"/>
            <w:tcMar>
              <w:top w:w="80" w:type="dxa"/>
              <w:left w:w="90" w:type="dxa"/>
              <w:bottom w:w="80" w:type="dxa"/>
              <w:right w:w="90" w:type="dxa"/>
            </w:tcMar>
            <w:vAlign w:val="center"/>
          </w:tcPr>
          <w:p w14:paraId="105EB114" w14:textId="77777777" w:rsidR="00745094" w:rsidRDefault="00745094">
            <w:pPr>
              <w:jc w:val="center"/>
            </w:pPr>
          </w:p>
        </w:tc>
        <w:tc>
          <w:tcPr>
            <w:tcW w:w="1169" w:type="dxa"/>
            <w:tcMar>
              <w:top w:w="80" w:type="dxa"/>
              <w:left w:w="90" w:type="dxa"/>
              <w:bottom w:w="80" w:type="dxa"/>
              <w:right w:w="90" w:type="dxa"/>
            </w:tcMar>
            <w:vAlign w:val="center"/>
          </w:tcPr>
          <w:p w14:paraId="1BBC09A2" w14:textId="77777777" w:rsidR="00745094" w:rsidRDefault="00745094">
            <w:pPr>
              <w:jc w:val="center"/>
            </w:pPr>
          </w:p>
        </w:tc>
        <w:tc>
          <w:tcPr>
            <w:tcW w:w="1169" w:type="dxa"/>
            <w:tcMar>
              <w:top w:w="80" w:type="dxa"/>
              <w:left w:w="90" w:type="dxa"/>
              <w:bottom w:w="80" w:type="dxa"/>
              <w:right w:w="90" w:type="dxa"/>
            </w:tcMar>
            <w:vAlign w:val="center"/>
          </w:tcPr>
          <w:p w14:paraId="17CA5CA1" w14:textId="77777777" w:rsidR="00745094" w:rsidRDefault="00745094">
            <w:pPr>
              <w:jc w:val="center"/>
            </w:pPr>
          </w:p>
        </w:tc>
        <w:tc>
          <w:tcPr>
            <w:tcW w:w="1169" w:type="dxa"/>
            <w:tcMar>
              <w:top w:w="80" w:type="dxa"/>
              <w:left w:w="90" w:type="dxa"/>
              <w:bottom w:w="80" w:type="dxa"/>
              <w:right w:w="90" w:type="dxa"/>
            </w:tcMar>
            <w:vAlign w:val="center"/>
          </w:tcPr>
          <w:p w14:paraId="4950389F" w14:textId="77777777" w:rsidR="00745094" w:rsidRDefault="00745094">
            <w:pPr>
              <w:jc w:val="center"/>
            </w:pPr>
          </w:p>
        </w:tc>
      </w:tr>
      <w:tr w:rsidR="00745094" w14:paraId="5BA0E6A5" w14:textId="77777777">
        <w:trPr>
          <w:jc w:val="center"/>
        </w:trPr>
        <w:tc>
          <w:tcPr>
            <w:tcW w:w="1169" w:type="dxa"/>
            <w:tcMar>
              <w:top w:w="80" w:type="dxa"/>
              <w:left w:w="90" w:type="dxa"/>
              <w:bottom w:w="80" w:type="dxa"/>
              <w:right w:w="90" w:type="dxa"/>
            </w:tcMar>
            <w:vAlign w:val="center"/>
          </w:tcPr>
          <w:p w14:paraId="7A649785" w14:textId="77777777" w:rsidR="00745094" w:rsidRDefault="00000000">
            <w:pPr>
              <w:jc w:val="center"/>
            </w:pPr>
            <w:r>
              <w:rPr>
                <w:sz w:val="20"/>
              </w:rPr>
              <w:lastRenderedPageBreak/>
              <w:t>3. Экономический статус семьи</w:t>
            </w:r>
          </w:p>
        </w:tc>
        <w:tc>
          <w:tcPr>
            <w:tcW w:w="1169" w:type="dxa"/>
            <w:tcMar>
              <w:top w:w="80" w:type="dxa"/>
              <w:left w:w="90" w:type="dxa"/>
              <w:bottom w:w="80" w:type="dxa"/>
              <w:right w:w="90" w:type="dxa"/>
            </w:tcMar>
            <w:vAlign w:val="center"/>
          </w:tcPr>
          <w:p w14:paraId="0015BF8F" w14:textId="77777777" w:rsidR="00745094" w:rsidRDefault="00000000">
            <w:pPr>
              <w:jc w:val="center"/>
            </w:pPr>
            <w:r>
              <w:rPr>
                <w:sz w:val="20"/>
              </w:rPr>
              <w:t>-1.02</w:t>
            </w:r>
          </w:p>
        </w:tc>
        <w:tc>
          <w:tcPr>
            <w:tcW w:w="1169" w:type="dxa"/>
            <w:tcMar>
              <w:top w:w="80" w:type="dxa"/>
              <w:left w:w="90" w:type="dxa"/>
              <w:bottom w:w="80" w:type="dxa"/>
              <w:right w:w="90" w:type="dxa"/>
            </w:tcMar>
            <w:vAlign w:val="center"/>
          </w:tcPr>
          <w:p w14:paraId="5D627630" w14:textId="77777777" w:rsidR="00745094" w:rsidRDefault="00000000">
            <w:pPr>
              <w:jc w:val="center"/>
            </w:pPr>
            <w:r>
              <w:rPr>
                <w:sz w:val="20"/>
              </w:rPr>
              <w:t>17.12</w:t>
            </w:r>
          </w:p>
        </w:tc>
        <w:tc>
          <w:tcPr>
            <w:tcW w:w="1169" w:type="dxa"/>
            <w:tcMar>
              <w:top w:w="80" w:type="dxa"/>
              <w:left w:w="90" w:type="dxa"/>
              <w:bottom w:w="80" w:type="dxa"/>
              <w:right w:w="90" w:type="dxa"/>
            </w:tcMar>
            <w:vAlign w:val="center"/>
          </w:tcPr>
          <w:p w14:paraId="255CF3D8" w14:textId="77777777" w:rsidR="00745094" w:rsidRDefault="00000000">
            <w:pPr>
              <w:jc w:val="center"/>
            </w:pPr>
            <w:r>
              <w:rPr>
                <w:sz w:val="20"/>
              </w:rPr>
              <w:t>-0.01</w:t>
            </w:r>
          </w:p>
        </w:tc>
        <w:tc>
          <w:tcPr>
            <w:tcW w:w="1169" w:type="dxa"/>
            <w:tcMar>
              <w:top w:w="80" w:type="dxa"/>
              <w:left w:w="90" w:type="dxa"/>
              <w:bottom w:w="80" w:type="dxa"/>
              <w:right w:w="90" w:type="dxa"/>
            </w:tcMar>
            <w:vAlign w:val="center"/>
          </w:tcPr>
          <w:p w14:paraId="7A0375DD" w14:textId="77777777" w:rsidR="00745094" w:rsidRDefault="00000000">
            <w:pPr>
              <w:jc w:val="center"/>
            </w:pPr>
            <w:r>
              <w:rPr>
                <w:sz w:val="20"/>
              </w:rPr>
              <w:t>-0.01</w:t>
            </w:r>
          </w:p>
        </w:tc>
        <w:tc>
          <w:tcPr>
            <w:tcW w:w="1169" w:type="dxa"/>
            <w:tcMar>
              <w:top w:w="80" w:type="dxa"/>
              <w:left w:w="90" w:type="dxa"/>
              <w:bottom w:w="80" w:type="dxa"/>
              <w:right w:w="90" w:type="dxa"/>
            </w:tcMar>
            <w:vAlign w:val="center"/>
          </w:tcPr>
          <w:p w14:paraId="71CD9BAA" w14:textId="77777777" w:rsidR="00745094" w:rsidRDefault="00745094">
            <w:pPr>
              <w:jc w:val="center"/>
            </w:pPr>
          </w:p>
        </w:tc>
        <w:tc>
          <w:tcPr>
            <w:tcW w:w="1169" w:type="dxa"/>
            <w:tcMar>
              <w:top w:w="80" w:type="dxa"/>
              <w:left w:w="90" w:type="dxa"/>
              <w:bottom w:w="80" w:type="dxa"/>
              <w:right w:w="90" w:type="dxa"/>
            </w:tcMar>
            <w:vAlign w:val="center"/>
          </w:tcPr>
          <w:p w14:paraId="77D9B6AD" w14:textId="77777777" w:rsidR="00745094" w:rsidRDefault="00745094">
            <w:pPr>
              <w:jc w:val="center"/>
            </w:pPr>
          </w:p>
        </w:tc>
        <w:tc>
          <w:tcPr>
            <w:tcW w:w="1169" w:type="dxa"/>
            <w:tcMar>
              <w:top w:w="80" w:type="dxa"/>
              <w:left w:w="90" w:type="dxa"/>
              <w:bottom w:w="80" w:type="dxa"/>
              <w:right w:w="90" w:type="dxa"/>
            </w:tcMar>
            <w:vAlign w:val="center"/>
          </w:tcPr>
          <w:p w14:paraId="7641F6AB" w14:textId="77777777" w:rsidR="00745094" w:rsidRDefault="00745094">
            <w:pPr>
              <w:jc w:val="center"/>
            </w:pPr>
          </w:p>
        </w:tc>
      </w:tr>
      <w:tr w:rsidR="00745094" w14:paraId="7E994AC5" w14:textId="77777777">
        <w:trPr>
          <w:jc w:val="center"/>
        </w:trPr>
        <w:tc>
          <w:tcPr>
            <w:tcW w:w="9352" w:type="dxa"/>
            <w:gridSpan w:val="8"/>
            <w:shd w:val="clear" w:color="auto" w:fill="EAEAEA"/>
            <w:tcMar>
              <w:top w:w="80" w:type="dxa"/>
              <w:left w:w="90" w:type="dxa"/>
              <w:bottom w:w="80" w:type="dxa"/>
              <w:right w:w="90" w:type="dxa"/>
            </w:tcMar>
            <w:vAlign w:val="center"/>
          </w:tcPr>
          <w:p w14:paraId="46BD30C4" w14:textId="77777777" w:rsidR="00745094" w:rsidRDefault="00000000">
            <w:pPr>
              <w:jc w:val="center"/>
            </w:pPr>
            <w:r>
              <w:rPr>
                <w:sz w:val="20"/>
              </w:rPr>
              <w:t>Ключевые переменные</w:t>
            </w:r>
          </w:p>
          <w:p w14:paraId="6304AD76" w14:textId="77777777" w:rsidR="00745094" w:rsidRDefault="00745094">
            <w:pPr>
              <w:jc w:val="center"/>
            </w:pPr>
          </w:p>
          <w:p w14:paraId="457F750A" w14:textId="77777777" w:rsidR="00745094" w:rsidRDefault="00745094">
            <w:pPr>
              <w:jc w:val="center"/>
            </w:pPr>
          </w:p>
          <w:p w14:paraId="45B9CD0F" w14:textId="77777777" w:rsidR="00745094" w:rsidRDefault="00745094">
            <w:pPr>
              <w:jc w:val="center"/>
            </w:pPr>
          </w:p>
          <w:p w14:paraId="03FC9CC8" w14:textId="77777777" w:rsidR="00745094" w:rsidRDefault="00745094">
            <w:pPr>
              <w:jc w:val="center"/>
            </w:pPr>
          </w:p>
          <w:p w14:paraId="0D176074" w14:textId="77777777" w:rsidR="00745094" w:rsidRDefault="00745094">
            <w:pPr>
              <w:jc w:val="center"/>
            </w:pPr>
          </w:p>
          <w:p w14:paraId="54DBF3AB" w14:textId="77777777" w:rsidR="00745094" w:rsidRDefault="00745094">
            <w:pPr>
              <w:jc w:val="center"/>
            </w:pPr>
          </w:p>
          <w:p w14:paraId="151FC370" w14:textId="77777777" w:rsidR="00745094" w:rsidRDefault="00745094">
            <w:pPr>
              <w:jc w:val="center"/>
            </w:pPr>
          </w:p>
        </w:tc>
      </w:tr>
      <w:tr w:rsidR="00745094" w14:paraId="24816AF1" w14:textId="77777777">
        <w:trPr>
          <w:jc w:val="center"/>
        </w:trPr>
        <w:tc>
          <w:tcPr>
            <w:tcW w:w="1169" w:type="dxa"/>
            <w:tcMar>
              <w:top w:w="80" w:type="dxa"/>
              <w:left w:w="90" w:type="dxa"/>
              <w:bottom w:w="80" w:type="dxa"/>
              <w:right w:w="90" w:type="dxa"/>
            </w:tcMar>
            <w:vAlign w:val="center"/>
          </w:tcPr>
          <w:p w14:paraId="59D6526A" w14:textId="77777777" w:rsidR="00745094" w:rsidRDefault="00000000">
            <w:pPr>
              <w:jc w:val="center"/>
            </w:pPr>
            <w:r>
              <w:rPr>
                <w:sz w:val="20"/>
              </w:rPr>
              <w:t>4. T1 CDAI</w:t>
            </w:r>
          </w:p>
        </w:tc>
        <w:tc>
          <w:tcPr>
            <w:tcW w:w="1169" w:type="dxa"/>
            <w:tcMar>
              <w:top w:w="80" w:type="dxa"/>
              <w:left w:w="90" w:type="dxa"/>
              <w:bottom w:w="80" w:type="dxa"/>
              <w:right w:w="90" w:type="dxa"/>
            </w:tcMar>
            <w:vAlign w:val="center"/>
          </w:tcPr>
          <w:p w14:paraId="0E248719" w14:textId="77777777" w:rsidR="00745094" w:rsidRDefault="00000000">
            <w:pPr>
              <w:jc w:val="center"/>
            </w:pPr>
            <w:r>
              <w:rPr>
                <w:sz w:val="20"/>
              </w:rPr>
              <w:t>0.67</w:t>
            </w:r>
          </w:p>
        </w:tc>
        <w:tc>
          <w:tcPr>
            <w:tcW w:w="1169" w:type="dxa"/>
            <w:tcMar>
              <w:top w:w="80" w:type="dxa"/>
              <w:left w:w="90" w:type="dxa"/>
              <w:bottom w:w="80" w:type="dxa"/>
              <w:right w:w="90" w:type="dxa"/>
            </w:tcMar>
            <w:vAlign w:val="center"/>
          </w:tcPr>
          <w:p w14:paraId="2A5F94B6" w14:textId="77777777" w:rsidR="00745094" w:rsidRDefault="00000000">
            <w:pPr>
              <w:jc w:val="center"/>
            </w:pPr>
            <w:r>
              <w:rPr>
                <w:sz w:val="20"/>
              </w:rPr>
              <w:t>-0.67</w:t>
            </w:r>
          </w:p>
        </w:tc>
        <w:tc>
          <w:tcPr>
            <w:tcW w:w="1169" w:type="dxa"/>
            <w:tcMar>
              <w:top w:w="80" w:type="dxa"/>
              <w:left w:w="90" w:type="dxa"/>
              <w:bottom w:w="80" w:type="dxa"/>
              <w:right w:w="90" w:type="dxa"/>
            </w:tcMar>
            <w:vAlign w:val="center"/>
          </w:tcPr>
          <w:p w14:paraId="2FD8E0A9" w14:textId="77777777" w:rsidR="00745094" w:rsidRDefault="00000000">
            <w:pPr>
              <w:jc w:val="center"/>
            </w:pPr>
            <w:r>
              <w:rPr>
                <w:sz w:val="20"/>
              </w:rPr>
              <w:t>-0.02</w:t>
            </w:r>
          </w:p>
        </w:tc>
        <w:tc>
          <w:tcPr>
            <w:tcW w:w="1169" w:type="dxa"/>
            <w:tcMar>
              <w:top w:w="80" w:type="dxa"/>
              <w:left w:w="90" w:type="dxa"/>
              <w:bottom w:w="80" w:type="dxa"/>
              <w:right w:w="90" w:type="dxa"/>
            </w:tcMar>
            <w:vAlign w:val="center"/>
          </w:tcPr>
          <w:p w14:paraId="2E2F855E" w14:textId="77777777" w:rsidR="00745094" w:rsidRDefault="00000000">
            <w:pPr>
              <w:jc w:val="center"/>
            </w:pPr>
            <w:r>
              <w:rPr>
                <w:sz w:val="20"/>
              </w:rPr>
              <w:t>-0.05</w:t>
            </w:r>
          </w:p>
        </w:tc>
        <w:tc>
          <w:tcPr>
            <w:tcW w:w="1169" w:type="dxa"/>
            <w:tcMar>
              <w:top w:w="80" w:type="dxa"/>
              <w:left w:w="90" w:type="dxa"/>
              <w:bottom w:w="80" w:type="dxa"/>
              <w:right w:w="90" w:type="dxa"/>
            </w:tcMar>
            <w:vAlign w:val="center"/>
          </w:tcPr>
          <w:p w14:paraId="701C360C" w14:textId="77777777" w:rsidR="00745094" w:rsidRDefault="00000000">
            <w:pPr>
              <w:jc w:val="center"/>
            </w:pPr>
            <w:r>
              <w:rPr>
                <w:sz w:val="20"/>
              </w:rPr>
              <w:t>0.05</w:t>
            </w:r>
          </w:p>
        </w:tc>
        <w:tc>
          <w:tcPr>
            <w:tcW w:w="1169" w:type="dxa"/>
            <w:tcMar>
              <w:top w:w="80" w:type="dxa"/>
              <w:left w:w="90" w:type="dxa"/>
              <w:bottom w:w="80" w:type="dxa"/>
              <w:right w:w="90" w:type="dxa"/>
            </w:tcMar>
            <w:vAlign w:val="center"/>
          </w:tcPr>
          <w:p w14:paraId="05524E78" w14:textId="77777777" w:rsidR="00745094" w:rsidRDefault="00745094">
            <w:pPr>
              <w:jc w:val="center"/>
            </w:pPr>
          </w:p>
        </w:tc>
        <w:tc>
          <w:tcPr>
            <w:tcW w:w="1169" w:type="dxa"/>
            <w:tcMar>
              <w:top w:w="80" w:type="dxa"/>
              <w:left w:w="90" w:type="dxa"/>
              <w:bottom w:w="80" w:type="dxa"/>
              <w:right w:w="90" w:type="dxa"/>
            </w:tcMar>
            <w:vAlign w:val="center"/>
          </w:tcPr>
          <w:p w14:paraId="4198F87B" w14:textId="77777777" w:rsidR="00745094" w:rsidRDefault="00745094">
            <w:pPr>
              <w:jc w:val="center"/>
            </w:pPr>
          </w:p>
        </w:tc>
      </w:tr>
      <w:tr w:rsidR="00745094" w14:paraId="2E805C64" w14:textId="77777777">
        <w:trPr>
          <w:jc w:val="center"/>
        </w:trPr>
        <w:tc>
          <w:tcPr>
            <w:tcW w:w="1169" w:type="dxa"/>
            <w:tcMar>
              <w:top w:w="80" w:type="dxa"/>
              <w:left w:w="90" w:type="dxa"/>
              <w:bottom w:w="80" w:type="dxa"/>
              <w:right w:w="90" w:type="dxa"/>
            </w:tcMar>
            <w:vAlign w:val="center"/>
          </w:tcPr>
          <w:p w14:paraId="13F05461" w14:textId="77777777" w:rsidR="00745094" w:rsidRDefault="00000000">
            <w:pPr>
              <w:jc w:val="center"/>
            </w:pPr>
            <w:r>
              <w:rPr>
                <w:sz w:val="20"/>
              </w:rPr>
              <w:t>5. T1 SC</w:t>
            </w:r>
          </w:p>
        </w:tc>
        <w:tc>
          <w:tcPr>
            <w:tcW w:w="1169" w:type="dxa"/>
            <w:tcMar>
              <w:top w:w="80" w:type="dxa"/>
              <w:left w:w="90" w:type="dxa"/>
              <w:bottom w:w="80" w:type="dxa"/>
              <w:right w:w="90" w:type="dxa"/>
            </w:tcMar>
            <w:vAlign w:val="center"/>
          </w:tcPr>
          <w:p w14:paraId="05E1C2E4" w14:textId="77777777" w:rsidR="00745094" w:rsidRDefault="00000000">
            <w:pPr>
              <w:jc w:val="center"/>
            </w:pPr>
            <w:r>
              <w:rPr>
                <w:sz w:val="20"/>
              </w:rPr>
              <w:t>0.11</w:t>
            </w:r>
          </w:p>
        </w:tc>
        <w:tc>
          <w:tcPr>
            <w:tcW w:w="1169" w:type="dxa"/>
            <w:tcMar>
              <w:top w:w="80" w:type="dxa"/>
              <w:left w:w="90" w:type="dxa"/>
              <w:bottom w:w="80" w:type="dxa"/>
              <w:right w:w="90" w:type="dxa"/>
            </w:tcMar>
            <w:vAlign w:val="center"/>
          </w:tcPr>
          <w:p w14:paraId="40FE5A67" w14:textId="77777777" w:rsidR="00745094" w:rsidRDefault="00000000">
            <w:pPr>
              <w:jc w:val="center"/>
            </w:pPr>
            <w:r>
              <w:rPr>
                <w:sz w:val="20"/>
              </w:rPr>
              <w:t>0.24</w:t>
            </w:r>
          </w:p>
        </w:tc>
        <w:tc>
          <w:tcPr>
            <w:tcW w:w="1169" w:type="dxa"/>
            <w:tcMar>
              <w:top w:w="80" w:type="dxa"/>
              <w:left w:w="90" w:type="dxa"/>
              <w:bottom w:w="80" w:type="dxa"/>
              <w:right w:w="90" w:type="dxa"/>
            </w:tcMar>
            <w:vAlign w:val="center"/>
          </w:tcPr>
          <w:p w14:paraId="78DEF662" w14:textId="77777777" w:rsidR="00745094" w:rsidRDefault="00000000">
            <w:pPr>
              <w:jc w:val="center"/>
            </w:pPr>
            <w:r>
              <w:rPr>
                <w:sz w:val="20"/>
              </w:rPr>
              <w:t>-0.02</w:t>
            </w:r>
          </w:p>
        </w:tc>
        <w:tc>
          <w:tcPr>
            <w:tcW w:w="1169" w:type="dxa"/>
            <w:tcMar>
              <w:top w:w="80" w:type="dxa"/>
              <w:left w:w="90" w:type="dxa"/>
              <w:bottom w:w="80" w:type="dxa"/>
              <w:right w:w="90" w:type="dxa"/>
            </w:tcMar>
            <w:vAlign w:val="center"/>
          </w:tcPr>
          <w:p w14:paraId="1C9F0D0F" w14:textId="77777777" w:rsidR="00745094" w:rsidRDefault="00000000">
            <w:pPr>
              <w:jc w:val="center"/>
            </w:pPr>
            <w:r>
              <w:rPr>
                <w:sz w:val="20"/>
              </w:rPr>
              <w:t>-0.11**</w:t>
            </w:r>
          </w:p>
        </w:tc>
        <w:tc>
          <w:tcPr>
            <w:tcW w:w="1169" w:type="dxa"/>
            <w:tcMar>
              <w:top w:w="80" w:type="dxa"/>
              <w:left w:w="90" w:type="dxa"/>
              <w:bottom w:w="80" w:type="dxa"/>
              <w:right w:w="90" w:type="dxa"/>
            </w:tcMar>
            <w:vAlign w:val="center"/>
          </w:tcPr>
          <w:p w14:paraId="1CC4AAE1" w14:textId="77777777" w:rsidR="00745094" w:rsidRDefault="00000000">
            <w:pPr>
              <w:jc w:val="center"/>
            </w:pPr>
            <w:r>
              <w:rPr>
                <w:sz w:val="20"/>
              </w:rPr>
              <w:t>0.10**</w:t>
            </w:r>
          </w:p>
        </w:tc>
        <w:tc>
          <w:tcPr>
            <w:tcW w:w="1169" w:type="dxa"/>
            <w:tcMar>
              <w:top w:w="80" w:type="dxa"/>
              <w:left w:w="90" w:type="dxa"/>
              <w:bottom w:w="80" w:type="dxa"/>
              <w:right w:w="90" w:type="dxa"/>
            </w:tcMar>
            <w:vAlign w:val="center"/>
          </w:tcPr>
          <w:p w14:paraId="3FDC3695" w14:textId="77777777" w:rsidR="00745094" w:rsidRDefault="00000000">
            <w:pPr>
              <w:jc w:val="center"/>
            </w:pPr>
            <w:r>
              <w:rPr>
                <w:sz w:val="20"/>
              </w:rPr>
              <w:t>0.28**</w:t>
            </w:r>
          </w:p>
        </w:tc>
        <w:tc>
          <w:tcPr>
            <w:tcW w:w="1169" w:type="dxa"/>
            <w:tcMar>
              <w:top w:w="80" w:type="dxa"/>
              <w:left w:w="90" w:type="dxa"/>
              <w:bottom w:w="80" w:type="dxa"/>
              <w:right w:w="90" w:type="dxa"/>
            </w:tcMar>
            <w:vAlign w:val="center"/>
          </w:tcPr>
          <w:p w14:paraId="7E26B87C" w14:textId="77777777" w:rsidR="00745094" w:rsidRDefault="00745094">
            <w:pPr>
              <w:jc w:val="center"/>
            </w:pPr>
          </w:p>
        </w:tc>
      </w:tr>
      <w:tr w:rsidR="00745094" w14:paraId="79E47CCD" w14:textId="77777777">
        <w:trPr>
          <w:jc w:val="center"/>
        </w:trPr>
        <w:tc>
          <w:tcPr>
            <w:tcW w:w="1169" w:type="dxa"/>
            <w:tcMar>
              <w:top w:w="80" w:type="dxa"/>
              <w:left w:w="90" w:type="dxa"/>
              <w:bottom w:w="80" w:type="dxa"/>
              <w:right w:w="90" w:type="dxa"/>
            </w:tcMar>
            <w:vAlign w:val="center"/>
          </w:tcPr>
          <w:p w14:paraId="0D653F06" w14:textId="77777777" w:rsidR="00745094" w:rsidRDefault="00000000">
            <w:pPr>
              <w:jc w:val="center"/>
            </w:pPr>
            <w:r>
              <w:rPr>
                <w:sz w:val="20"/>
              </w:rPr>
              <w:t>6. T2 IGD</w:t>
            </w:r>
          </w:p>
        </w:tc>
        <w:tc>
          <w:tcPr>
            <w:tcW w:w="1169" w:type="dxa"/>
            <w:tcMar>
              <w:top w:w="80" w:type="dxa"/>
              <w:left w:w="90" w:type="dxa"/>
              <w:bottom w:w="80" w:type="dxa"/>
              <w:right w:w="90" w:type="dxa"/>
            </w:tcMar>
            <w:vAlign w:val="center"/>
          </w:tcPr>
          <w:p w14:paraId="002F82BB" w14:textId="77777777" w:rsidR="00745094" w:rsidRDefault="00000000">
            <w:pPr>
              <w:jc w:val="center"/>
            </w:pPr>
            <w:r>
              <w:rPr>
                <w:sz w:val="20"/>
              </w:rPr>
              <w:t>1.71</w:t>
            </w:r>
          </w:p>
        </w:tc>
        <w:tc>
          <w:tcPr>
            <w:tcW w:w="1169" w:type="dxa"/>
            <w:tcMar>
              <w:top w:w="80" w:type="dxa"/>
              <w:left w:w="90" w:type="dxa"/>
              <w:bottom w:w="80" w:type="dxa"/>
              <w:right w:w="90" w:type="dxa"/>
            </w:tcMar>
            <w:vAlign w:val="center"/>
          </w:tcPr>
          <w:p w14:paraId="39B6E03A" w14:textId="77777777" w:rsidR="00745094" w:rsidRDefault="00000000">
            <w:pPr>
              <w:jc w:val="center"/>
            </w:pPr>
            <w:r>
              <w:rPr>
                <w:sz w:val="20"/>
              </w:rPr>
              <w:t>3.68</w:t>
            </w:r>
          </w:p>
        </w:tc>
        <w:tc>
          <w:tcPr>
            <w:tcW w:w="1169" w:type="dxa"/>
            <w:tcMar>
              <w:top w:w="80" w:type="dxa"/>
              <w:left w:w="90" w:type="dxa"/>
              <w:bottom w:w="80" w:type="dxa"/>
              <w:right w:w="90" w:type="dxa"/>
            </w:tcMar>
            <w:vAlign w:val="center"/>
          </w:tcPr>
          <w:p w14:paraId="37C4F5ED" w14:textId="77777777" w:rsidR="00745094" w:rsidRDefault="00000000">
            <w:pPr>
              <w:jc w:val="center"/>
            </w:pPr>
            <w:r>
              <w:rPr>
                <w:sz w:val="20"/>
              </w:rPr>
              <w:t>-0.08*</w:t>
            </w:r>
          </w:p>
        </w:tc>
        <w:tc>
          <w:tcPr>
            <w:tcW w:w="1169" w:type="dxa"/>
            <w:tcMar>
              <w:top w:w="80" w:type="dxa"/>
              <w:left w:w="90" w:type="dxa"/>
              <w:bottom w:w="80" w:type="dxa"/>
              <w:right w:w="90" w:type="dxa"/>
            </w:tcMar>
            <w:vAlign w:val="center"/>
          </w:tcPr>
          <w:p w14:paraId="1A1B59B2" w14:textId="77777777" w:rsidR="00745094" w:rsidRDefault="00000000">
            <w:pPr>
              <w:jc w:val="center"/>
            </w:pPr>
            <w:r>
              <w:rPr>
                <w:sz w:val="20"/>
              </w:rPr>
              <w:t>0.04</w:t>
            </w:r>
          </w:p>
        </w:tc>
        <w:tc>
          <w:tcPr>
            <w:tcW w:w="1169" w:type="dxa"/>
            <w:tcMar>
              <w:top w:w="80" w:type="dxa"/>
              <w:left w:w="90" w:type="dxa"/>
              <w:bottom w:w="80" w:type="dxa"/>
              <w:right w:w="90" w:type="dxa"/>
            </w:tcMar>
            <w:vAlign w:val="center"/>
          </w:tcPr>
          <w:p w14:paraId="264CB7EA" w14:textId="77777777" w:rsidR="00745094" w:rsidRDefault="00000000">
            <w:pPr>
              <w:jc w:val="center"/>
            </w:pPr>
            <w:r>
              <w:rPr>
                <w:sz w:val="20"/>
              </w:rPr>
              <w:t>-0.10**</w:t>
            </w:r>
          </w:p>
        </w:tc>
        <w:tc>
          <w:tcPr>
            <w:tcW w:w="1169" w:type="dxa"/>
            <w:tcMar>
              <w:top w:w="80" w:type="dxa"/>
              <w:left w:w="90" w:type="dxa"/>
              <w:bottom w:w="80" w:type="dxa"/>
              <w:right w:w="90" w:type="dxa"/>
            </w:tcMar>
            <w:vAlign w:val="center"/>
          </w:tcPr>
          <w:p w14:paraId="683852F6" w14:textId="77777777" w:rsidR="00745094" w:rsidRDefault="00000000">
            <w:pPr>
              <w:jc w:val="center"/>
            </w:pPr>
            <w:r>
              <w:rPr>
                <w:sz w:val="20"/>
              </w:rPr>
              <w:t>-0.11**</w:t>
            </w:r>
          </w:p>
        </w:tc>
        <w:tc>
          <w:tcPr>
            <w:tcW w:w="1169" w:type="dxa"/>
            <w:tcMar>
              <w:top w:w="80" w:type="dxa"/>
              <w:left w:w="90" w:type="dxa"/>
              <w:bottom w:w="80" w:type="dxa"/>
              <w:right w:w="90" w:type="dxa"/>
            </w:tcMar>
            <w:vAlign w:val="center"/>
          </w:tcPr>
          <w:p w14:paraId="53D3A818" w14:textId="77777777" w:rsidR="00745094" w:rsidRDefault="00000000">
            <w:pPr>
              <w:jc w:val="center"/>
            </w:pPr>
            <w:r>
              <w:rPr>
                <w:sz w:val="20"/>
              </w:rPr>
              <w:t>-0.19**</w:t>
            </w:r>
          </w:p>
        </w:tc>
      </w:tr>
    </w:tbl>
    <w:p w14:paraId="4D94CDBE" w14:textId="77777777" w:rsidR="00745094" w:rsidRDefault="00000000">
      <w:pPr>
        <w:spacing w:after="160"/>
      </w:pPr>
      <w:r>
        <w:rPr>
          <w:i/>
          <w:sz w:val="20"/>
        </w:rPr>
        <w:t>Примечание. CDAI - кумулятивный индекс ресурсов развития; SC - самоконтроль; IGD - интернет-игровое расстройство. *p &lt; 0.05, **p &lt; 0.01.</w:t>
      </w:r>
    </w:p>
    <w:p w14:paraId="60A5C2DF" w14:textId="77777777" w:rsidR="00745094" w:rsidRDefault="00000000">
      <w:pPr>
        <w:spacing w:before="120" w:after="80"/>
      </w:pPr>
      <w:r>
        <w:rPr>
          <w:b/>
          <w:sz w:val="26"/>
        </w:rPr>
        <w:t>Медиирующий эффект самоконтроля в момент T1</w:t>
      </w:r>
    </w:p>
    <w:p w14:paraId="5231BE7A" w14:textId="77777777" w:rsidR="00745094" w:rsidRDefault="00000000">
      <w:pPr>
        <w:spacing w:after="60" w:line="264" w:lineRule="auto"/>
        <w:ind w:firstLine="709"/>
        <w:jc w:val="both"/>
      </w:pPr>
      <w:r>
        <w:t>Для проверки того, опосредует ли самоконтроль в момент T1 путь от CDAI в момент T1 к IGD в момент T2, была построена медиативная модель. Результаты показали, что данная модель очень хорошо соответствует данным: χ2(df) = 70.37(33), RMSEA = 0.04 (95% CI = [0.026, 0.053]), CFI = 0.987, TLI = 0.981 и SRMR = 0.029. Кроме того, как показано на рисунке 2, CDAI в момент T1 отрицательно предсказывал IGD в момент T2 (β = -0.15, p = 0.005), а также косвенно влиял на IGD в момент T2 через самоконтроль в момент T1. В частности, CDAI в момент T1 положительно влиял на самоконтроль в момент T1 (β = 0.23, p = 0.001), который, в свою очередь, оказывал отрицательное влияние на IGD в момент T2 (β = -0.13, p = 0.005). Эти результаты подтвердили медиирующую роль самоконтроля в момент T1 во взаимосвязи между CDAI в момент T1 и IGD в момент T2 (β = -0.03, 95% CI = [-0.066, -0.007]). Иными словами, гипотеза 1 и гипотеза 2 получили подтверждение.</w:t>
      </w:r>
    </w:p>
    <w:p w14:paraId="59652383" w14:textId="77777777" w:rsidR="00745094" w:rsidRDefault="00000000">
      <w:pPr>
        <w:spacing w:before="120" w:after="60"/>
        <w:jc w:val="center"/>
      </w:pPr>
      <w:r>
        <w:rPr>
          <w:i/>
          <w:sz w:val="20"/>
        </w:rPr>
        <w:t>Рисунок 2. Медиирующий эффект самоконтроля в момент T1 во взаимосвязи между ресурсами развития в момент T1 и интернет-игровым расстройством в момент T2. Представлены стандартизованные коэффициенты; **p &lt; 0.01.</w:t>
      </w:r>
    </w:p>
    <w:p w14:paraId="18104696" w14:textId="77777777" w:rsidR="00745094" w:rsidRDefault="00000000">
      <w:pPr>
        <w:spacing w:before="120" w:after="80"/>
      </w:pPr>
      <w:r>
        <w:rPr>
          <w:b/>
          <w:sz w:val="26"/>
        </w:rPr>
        <w:t>Модерирующий эффект пола</w:t>
      </w:r>
    </w:p>
    <w:p w14:paraId="4370B4D8" w14:textId="77777777" w:rsidR="00745094" w:rsidRDefault="00000000">
      <w:pPr>
        <w:spacing w:after="60" w:line="264" w:lineRule="auto"/>
        <w:ind w:firstLine="709"/>
        <w:jc w:val="both"/>
      </w:pPr>
      <w:r>
        <w:t>Для оценки возможного модерирующего эффекта пола в медиативной модели был использован многогрупповой анализ. На основе описанной выше медиативной модели пол был добавлен в качестве группирующей переменной, и новая модель также хорошо соответствовала данным: χ2(df) = 144.80 (60), RMSEA = 0.06 (95% CI = [0.045, 0.069]), CFI = 0.967, TLI = 0.960 и SRMR = 0.049. Затем для оценки возможных гендерных различий в медиативной модели был проведен тест Вальда. Результаты не подтвердили предположение о наличии таких различий (χ2 = 1.011, p = 0.315), что свидетельствует об отсутствии значимых гендерных различий в медиативной модели. Таким образом, гипотеза 3 не получила подтверждения.</w:t>
      </w:r>
    </w:p>
    <w:p w14:paraId="55D69FD4" w14:textId="77777777" w:rsidR="00745094" w:rsidRDefault="00000000">
      <w:pPr>
        <w:spacing w:before="160" w:after="80"/>
      </w:pPr>
      <w:r>
        <w:rPr>
          <w:b/>
          <w:sz w:val="30"/>
        </w:rPr>
        <w:t>Обсуждение</w:t>
      </w:r>
    </w:p>
    <w:p w14:paraId="25BE6E4B" w14:textId="77777777" w:rsidR="00745094" w:rsidRDefault="00000000">
      <w:pPr>
        <w:spacing w:after="60" w:line="264" w:lineRule="auto"/>
        <w:ind w:firstLine="709"/>
        <w:jc w:val="both"/>
      </w:pPr>
      <w:r>
        <w:t xml:space="preserve">Для изучения взаимосвязи между ресурсами развития, самоконтролем и IGD в подростковом возрасте в настоящем исследовании использован двухволновой </w:t>
      </w:r>
      <w:r>
        <w:lastRenderedPageBreak/>
        <w:t>лонгитюдный дизайн и предложена модель модерируемой медиации. В целом результаты подтверждают выдвинутую модель. Основной вывод заключается в том, что самоконтроль опосредует связь между ресурсами развития и IGD, что дает новую и более комплексную перспективу для углубленного понимания IGD у подростков. Кроме того, этот результат показывает, что для профилактики и коррекции IGD у подростков необходимо принимать различные меры на уровне разных подсистем. Ниже подробно обсуждаются все полученные результаты.</w:t>
      </w:r>
    </w:p>
    <w:p w14:paraId="159A0AC4" w14:textId="77777777" w:rsidR="00745094" w:rsidRDefault="00000000">
      <w:pPr>
        <w:spacing w:before="120" w:after="80"/>
      </w:pPr>
      <w:r>
        <w:rPr>
          <w:b/>
          <w:sz w:val="26"/>
        </w:rPr>
        <w:t>Ресурсы развития и IGD</w:t>
      </w:r>
    </w:p>
    <w:p w14:paraId="519BBAAC" w14:textId="77777777" w:rsidR="00745094" w:rsidRDefault="00000000">
      <w:pPr>
        <w:spacing w:after="60" w:line="264" w:lineRule="auto"/>
        <w:ind w:firstLine="709"/>
        <w:jc w:val="both"/>
      </w:pPr>
      <w:r>
        <w:t>Предыдущие исследования показали, что отдельные компоненты ресурсов развития связаны с IGD, например социальная поддержка, семейные правила и школьная вовлеченность (13, 31-33). Опираясь на эти косвенные данные, настоящее исследование стремилось выяснить, существует ли между ними прямая связь. Как и ожидалось, лонгитюдный дизайн выявил значимую прямую связь между ресурсами развития и IGD. В частности, ресурсы развития отрицательно предсказывали IGD через полгода. Иными словами, наличие как можно большего числа ресурсов развития может эффективно снижать риск формирования IGD. Ресурсы развития выполняют защитную функцию в отношении IGD, что согласуется с предыдущими эмпирическими данными. Так, Chang и соавт. (64) обнаружили кумулятивный эффект ресурсов развития в снижении экстернализирующего поведения у подростков. Аналогично Mazloomi и соавт. (72) также показали, что ресурсы развития способны эффективно снижать аддиктивный потенциал. В целом ресурсы развития выступают защитными факторами, предохраняющими подростков от негативных исходов развития.</w:t>
      </w:r>
    </w:p>
    <w:p w14:paraId="5E553E89" w14:textId="77777777" w:rsidR="00745094" w:rsidRDefault="00000000">
      <w:pPr>
        <w:spacing w:after="60" w:line="264" w:lineRule="auto"/>
        <w:ind w:firstLine="709"/>
        <w:jc w:val="both"/>
      </w:pPr>
      <w:r>
        <w:t>Кроме того, данный результат обеспечивает эмпирическую поддержку предположению о горизонтальном накоплении в рамках концепции ресурсов развития (22). Оно подчеркивает, что наличие как можно большего числа различных видов ресурсов может предотвращать или уменьшать негативные исходы. В настоящем исследовании для оценки кумулятивного эффекта восьми видов ресурсов развития на IGD использовался CDAI. Полученные результаты показали, что чем больше ресурсов развития имеется у подростков, тем ниже вероятность того, что они будут зависимы от интернет-игр. Одним из возможных объяснений могут быть множественные защитные функции ресурсов (22, 64). Каждый вид ресурса развития представляет собой защитный слой, обладающий собственным уникальным эффектом и способствующий развитию личности. Чем больше ресурсов развития у подростка, тем больше защитных слоев охраняют его развитие. Совместное действие этих защитных слоев образует своего рода большой зонт, который предохраняет подростков от проблем развития и обеспечивает их здоровое развитие. С точки зрения концепции ресурсов развития формирование достаточного числа ресурсов развития имеет принципиальное значение для профилактики и коррекции IGD и других негативных исходов.</w:t>
      </w:r>
    </w:p>
    <w:p w14:paraId="074CF6BF" w14:textId="77777777" w:rsidR="00745094" w:rsidRDefault="00000000">
      <w:pPr>
        <w:spacing w:before="120" w:after="80"/>
      </w:pPr>
      <w:r>
        <w:rPr>
          <w:b/>
          <w:sz w:val="26"/>
        </w:rPr>
        <w:t>Медиирующая роль самоконтроля</w:t>
      </w:r>
    </w:p>
    <w:p w14:paraId="2EA2C339" w14:textId="77777777" w:rsidR="00745094" w:rsidRDefault="00000000">
      <w:pPr>
        <w:spacing w:after="60" w:line="264" w:lineRule="auto"/>
        <w:ind w:firstLine="709"/>
        <w:jc w:val="both"/>
      </w:pPr>
      <w:r>
        <w:t xml:space="preserve">В соответствии со второй гипотезой ресурсы развития могли также косвенно снижать IGD через повышение самоконтроля. Этот результат дает лонгитюдные подтверждения экологической системной теории (19), согласно которой подсистемы совместно влияют на развитие личности. В настоящем исследовании ресурсы развития и самоконтроль происходят из разных подсистем - индивида, семьи, школы, сообщества и общества. Значимое влияние 40 ресурсов и самоконтроля на IGD в определенной степени </w:t>
      </w:r>
      <w:r>
        <w:lastRenderedPageBreak/>
        <w:t>подтверждает данную теорию. Более того, полученный результат также согласуется с положением общей теории преступности о том, что дефицит самоконтроля является критически важной причиной подверженности IGD (37). Следовательно, развитие этой способности может эффективно снижать распространенность IGD у подростков. Кроме того, данный результат согласуется с предыдущими исследованиями, показавшими отрицательную связь между самоконтролем и IGD (42, 44), и одновременно расширяет их, предлагая практически применимый путь для развития этой способности.</w:t>
      </w:r>
    </w:p>
    <w:p w14:paraId="35282046" w14:textId="77777777" w:rsidR="00745094" w:rsidRDefault="00000000">
      <w:pPr>
        <w:spacing w:after="60" w:line="264" w:lineRule="auto"/>
        <w:ind w:firstLine="709"/>
        <w:jc w:val="both"/>
      </w:pPr>
      <w:r>
        <w:t>Этот результат можно глубже понять, объединив две теоретические перспективы. Согласно концепции ресурсов развития (22), ресурсы развития способны усиливать позитивные исходы развития (например, высокий самоконтроль). Следовательно, наличие как можно большего числа ресурсов развития благоприятно для повышения уровня самоконтроля. Это неоднократно подтверждалось эмпирическими исследованиями (48-50). Кроме того, как подчеркивается в общей теории преступности (37), самоконтроль является жизненно важной способностью, дефицит которой рассматривается как наиболее существенная причина преступности и других проблем. Иными словами, повышение самоконтроля может эффективно предотвращать преступность и многие иные проблемы, включая IGD. Более того, наличие ресурсов развития представляет собой эффективный и удобный путь повышения уровня самоконтроля. В сумме это означает, что ресурсы развития способствуют формированию более высокого уровня самоконтроля, который, в свою очередь, помогает предотвращать IGD у подростков. Этот вывод углубляет понимание механизма связи между ресурсами развития и IGD. Следовательно, необходимо принимать различные меры, обеспечивающие подросткам как можно больше ресурсов развития, чтобы способствовать повышению их самоконтроля.</w:t>
      </w:r>
    </w:p>
    <w:p w14:paraId="5F6AEA9B" w14:textId="77777777" w:rsidR="00745094" w:rsidRDefault="00000000">
      <w:pPr>
        <w:spacing w:before="120" w:after="80"/>
      </w:pPr>
      <w:r>
        <w:rPr>
          <w:b/>
          <w:sz w:val="26"/>
        </w:rPr>
        <w:t>Модерирующая роль пола</w:t>
      </w:r>
    </w:p>
    <w:p w14:paraId="23B71999" w14:textId="77777777" w:rsidR="00745094" w:rsidRDefault="00000000">
      <w:pPr>
        <w:spacing w:after="60" w:line="264" w:lineRule="auto"/>
        <w:ind w:firstLine="709"/>
        <w:jc w:val="both"/>
      </w:pPr>
      <w:r>
        <w:t>Многочисленные эмпирические данные свидетельствуют о гендерных различиях в ресурсах развития, самоконтроле и IGD (55-57, 60-62). Однако, в отличие от предшествующей литературы, в настоящем исследовании пол не выступал значимым модератором медиативной модели. Одним из возможных объяснений отсутствия значимого модерирующего эффекта пола может быть выбор показателя ресурсов развития. В настоящем исследовании в качестве индикатора использовался CDAI, представляющий собой бинарно закодированную переменную. Это могло привести к потере другой важной информации о гендерных различиях в ресурсах развития. Исследование Soares и соавт. (55) подтвердило, что гендерные различия были значимыми в непрерывных распределениях ресурсов развития, но становились незначимыми в бинарно рекодированном индексе. Следовательно, бинарный способ рекодирования может быть важной причиной полученного результата. В будущих исследованиях следует с осторожностью использовать бинарное рекодирование и рекомендуется оценивать гендерные различия по нерекодированным показателям переменных, которые могут более адекватно отражать ситуацию.</w:t>
      </w:r>
    </w:p>
    <w:p w14:paraId="425DBB87" w14:textId="77777777" w:rsidR="00745094" w:rsidRDefault="00000000">
      <w:pPr>
        <w:spacing w:before="120" w:after="80"/>
      </w:pPr>
      <w:r>
        <w:rPr>
          <w:b/>
          <w:sz w:val="26"/>
        </w:rPr>
        <w:t>Ограничения и практические выводы</w:t>
      </w:r>
    </w:p>
    <w:p w14:paraId="20F005AF" w14:textId="77777777" w:rsidR="00745094" w:rsidRDefault="00000000">
      <w:pPr>
        <w:spacing w:after="60" w:line="264" w:lineRule="auto"/>
        <w:ind w:firstLine="709"/>
        <w:jc w:val="both"/>
      </w:pPr>
      <w:r>
        <w:t xml:space="preserve">Необходимо учитывать несколько ограничений настоящего исследования. Во-первых, данные собирались с помощью самоотчетных опросников, что могло приводить к недостоверным ответам и не позволяло полностью избежать влияния общего методического смещения. Поэтому при изучении данной взаимосвязи следует сочетать несколько методов, например опросники, заполняемые сверстниками. Во-вторых, в </w:t>
      </w:r>
      <w:r>
        <w:lastRenderedPageBreak/>
        <w:t>настоящем исследовании оценивалось влияние 40 ресурсов развития и одной личностной переменной на IGD. Однако феномен ресурсов развития может включать и большее число факторов. В будущих исследованиях можно объединять и другие факторы для изучения их связи с IGD. В-третьих, хотя в настоящем исследовании использовался лонгитюдный дизайн, интервал наблюдения составил лишь полгода, что слишком мало в масштабе жизненного пути. В дальнейшем целесообразно использовать более продолжительные лонгитюдные исследования. Наконец, настоящее исследование было сосредоточено только на китайских подростках. Полученные результаты могут быть неприменимы к молодежи из других культур. Поэтому для получения более обобщаемых выводов будущие исследования должны в большей степени ориентироваться на кросс-культурные выборки.</w:t>
      </w:r>
    </w:p>
    <w:p w14:paraId="3316C3AC" w14:textId="77777777" w:rsidR="00745094" w:rsidRDefault="00000000">
      <w:pPr>
        <w:spacing w:after="60" w:line="264" w:lineRule="auto"/>
        <w:ind w:firstLine="709"/>
        <w:jc w:val="both"/>
      </w:pPr>
      <w:r>
        <w:t>С практической точки зрения настоящее исследование имеет несколько важных следствий. Во-первых, полученные результаты показывают, что в развитии подростков необходимо уделять больше внимания позитивным факторам (например, ресурсам развития). Во-вторых, для преодоления трудностей развития у подростков следует принимать комплексные меры по формированию ресурсов развития. Например, родители могут предоставлять больше материальной и психологической поддержки, общаться в позитивной манере и выстраивать хорошие отношения с подростками. Сообщество и школа могут предоставлять им больше возможностей служить другим и брать на себя ответственность. В-третьих, самоконтроль является важной способностью, которая развивается в течение первого десятилетия жизни и затем на протяжении всей жизни защищает человека. Поэтому родителям следует осознанно прилагать максимум усилий к тому, чтобы помогать своим детям развивать эту способность в течение первого десятилетия их жизни.</w:t>
      </w:r>
    </w:p>
    <w:p w14:paraId="0B5D60B3" w14:textId="77777777" w:rsidR="00745094" w:rsidRDefault="00000000">
      <w:pPr>
        <w:spacing w:before="160" w:after="80"/>
      </w:pPr>
      <w:r>
        <w:rPr>
          <w:b/>
          <w:sz w:val="30"/>
        </w:rPr>
        <w:t>Заключение</w:t>
      </w:r>
    </w:p>
    <w:p w14:paraId="185363E2" w14:textId="77777777" w:rsidR="00745094" w:rsidRDefault="00000000">
      <w:pPr>
        <w:spacing w:after="60" w:line="264" w:lineRule="auto"/>
        <w:ind w:firstLine="709"/>
        <w:jc w:val="both"/>
      </w:pPr>
      <w:r>
        <w:t>С позиции позитивного развития молодежи исследователи указывают, что ресурсы развития играют критически важную роль в содействии развитию подростков. В настоящем исследовании было изучено, как их совместное действие влияло на развитие китайских подростков во время пандемии COVID-19. В частности, на основе модели модерируемой медиации и данных лонгитюдного исследования была проанализирована взаимосвязь между ресурсами развития, самоконтролем и IGD. Подростки, обладающие большим числом ресурсов развития, в меньшей степени склонны к развитию IGD. Кроме того, кумулятивные ресурсы развития способствуют более высокому уровню самоконтроля, который, в свою очередь, помогает предотвращать или уменьшать IGD. В целом для того, чтобы помочь подросткам справляться с задачами развития в подростковом возрасте, необходимо принимать меры по формированию ресурсов развития.</w:t>
      </w:r>
    </w:p>
    <w:sectPr w:rsidR="00745094" w:rsidSect="00034616">
      <w:pgSz w:w="11906" w:h="16838"/>
      <w:pgMar w:top="1247" w:right="1134"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36219766">
    <w:abstractNumId w:val="8"/>
  </w:num>
  <w:num w:numId="2" w16cid:durableId="357119946">
    <w:abstractNumId w:val="6"/>
  </w:num>
  <w:num w:numId="3" w16cid:durableId="750615048">
    <w:abstractNumId w:val="5"/>
  </w:num>
  <w:num w:numId="4" w16cid:durableId="1061751911">
    <w:abstractNumId w:val="4"/>
  </w:num>
  <w:num w:numId="5" w16cid:durableId="369064339">
    <w:abstractNumId w:val="7"/>
  </w:num>
  <w:num w:numId="6" w16cid:durableId="1835803278">
    <w:abstractNumId w:val="3"/>
  </w:num>
  <w:num w:numId="7" w16cid:durableId="1163283046">
    <w:abstractNumId w:val="2"/>
  </w:num>
  <w:num w:numId="8" w16cid:durableId="457919663">
    <w:abstractNumId w:val="1"/>
  </w:num>
  <w:num w:numId="9" w16cid:durableId="86575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F2D"/>
    <w:rsid w:val="0015074B"/>
    <w:rsid w:val="0029639D"/>
    <w:rsid w:val="00326F90"/>
    <w:rsid w:val="00745094"/>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70D07"/>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2026-04-21T07:00:00Z</dcterms:modified>
  <cp:category/>
</cp:coreProperties>
</file>