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6E619" w14:textId="77777777" w:rsidR="008634E1" w:rsidRPr="008A0118" w:rsidRDefault="008634E1" w:rsidP="008634E1">
      <w:pPr>
        <w:rPr>
          <w:sz w:val="44"/>
          <w:szCs w:val="44"/>
          <w:lang w:val="ru-RU"/>
        </w:rPr>
      </w:pPr>
      <w:r w:rsidRPr="008A0118">
        <w:rPr>
          <w:sz w:val="44"/>
          <w:szCs w:val="44"/>
          <w:lang w:val="ru-RU"/>
        </w:rPr>
        <w:t>ДАЛЕЕ ТЕКСТ ПЕРЕРАБОТАН МНОЙ. ЭТО НЕ СТАТЬЯ И НЕ ПЕРЕВОД СТАТЬИ, А ПЕРЕПИСАННЫЙ МНОЙ ОСМЫСЛЕННЫЙ ТЕКСТ НА ОСНОВЕ СТАТЬИ</w:t>
      </w:r>
    </w:p>
    <w:p w14:paraId="1407D79A" w14:textId="77777777" w:rsidR="008634E1" w:rsidRPr="008634E1" w:rsidRDefault="008634E1">
      <w:pPr>
        <w:spacing w:after="240"/>
        <w:rPr>
          <w:i/>
          <w:sz w:val="22"/>
          <w:lang w:val="ru-RU"/>
        </w:rPr>
      </w:pPr>
    </w:p>
    <w:p w14:paraId="4BBDA050" w14:textId="77777777" w:rsidR="008634E1" w:rsidRDefault="00000000" w:rsidP="008634E1">
      <w:pPr>
        <w:spacing w:after="240"/>
        <w:rPr>
          <w:i/>
          <w:sz w:val="22"/>
        </w:rPr>
      </w:pPr>
      <w:r>
        <w:rPr>
          <w:i/>
          <w:sz w:val="22"/>
        </w:rPr>
        <w:t>Citation</w:t>
      </w:r>
      <w:r w:rsidRPr="008634E1">
        <w:rPr>
          <w:i/>
          <w:sz w:val="22"/>
        </w:rPr>
        <w:t xml:space="preserve">: </w:t>
      </w:r>
      <w:r w:rsidR="008634E1" w:rsidRPr="008634E1">
        <w:rPr>
          <w:i/>
          <w:sz w:val="22"/>
        </w:rPr>
        <w:t>Marchica, Loredana &amp; Mills, Devin &amp; Derevensky, Jeffrey &amp; Montreuil, Tina. (2019). The Role of Emotion Regulation in Video Gaming and Gambling Disorder: A Systematic Review. CJAM</w:t>
      </w:r>
      <w:r w:rsidR="008634E1" w:rsidRPr="008634E1">
        <w:rPr>
          <w:i/>
          <w:sz w:val="22"/>
          <w:lang w:val="ru-RU"/>
        </w:rPr>
        <w:t xml:space="preserve"> </w:t>
      </w:r>
      <w:r w:rsidR="008634E1" w:rsidRPr="008634E1">
        <w:rPr>
          <w:i/>
          <w:sz w:val="22"/>
        </w:rPr>
        <w:t>Canadian</w:t>
      </w:r>
      <w:r w:rsidR="008634E1" w:rsidRPr="008634E1">
        <w:rPr>
          <w:i/>
          <w:sz w:val="22"/>
          <w:lang w:val="ru-RU"/>
        </w:rPr>
        <w:t xml:space="preserve"> </w:t>
      </w:r>
      <w:r w:rsidR="008634E1" w:rsidRPr="008634E1">
        <w:rPr>
          <w:i/>
          <w:sz w:val="22"/>
        </w:rPr>
        <w:t>Journal</w:t>
      </w:r>
      <w:r w:rsidR="008634E1" w:rsidRPr="008634E1">
        <w:rPr>
          <w:i/>
          <w:sz w:val="22"/>
          <w:lang w:val="ru-RU"/>
        </w:rPr>
        <w:t xml:space="preserve"> </w:t>
      </w:r>
      <w:r w:rsidR="008634E1" w:rsidRPr="008634E1">
        <w:rPr>
          <w:i/>
          <w:sz w:val="22"/>
        </w:rPr>
        <w:t>of</w:t>
      </w:r>
      <w:r w:rsidR="008634E1" w:rsidRPr="008634E1">
        <w:rPr>
          <w:i/>
          <w:sz w:val="22"/>
          <w:lang w:val="ru-RU"/>
        </w:rPr>
        <w:t xml:space="preserve"> </w:t>
      </w:r>
      <w:r w:rsidR="008634E1" w:rsidRPr="008634E1">
        <w:rPr>
          <w:i/>
          <w:sz w:val="22"/>
        </w:rPr>
        <w:t>Addiction</w:t>
      </w:r>
      <w:r w:rsidR="008634E1" w:rsidRPr="008634E1">
        <w:rPr>
          <w:i/>
          <w:sz w:val="22"/>
          <w:lang w:val="ru-RU"/>
        </w:rPr>
        <w:t xml:space="preserve"> </w:t>
      </w:r>
      <w:r w:rsidR="008634E1" w:rsidRPr="008634E1">
        <w:rPr>
          <w:i/>
          <w:sz w:val="22"/>
        </w:rPr>
        <w:t>Medicine</w:t>
      </w:r>
      <w:r w:rsidR="008634E1" w:rsidRPr="008634E1">
        <w:rPr>
          <w:i/>
          <w:sz w:val="22"/>
          <w:lang w:val="ru-RU"/>
        </w:rPr>
        <w:t>. 10. 19-29. 10.1097/</w:t>
      </w:r>
      <w:r w:rsidR="008634E1" w:rsidRPr="008634E1">
        <w:rPr>
          <w:i/>
          <w:sz w:val="22"/>
        </w:rPr>
        <w:t>CXA</w:t>
      </w:r>
      <w:r w:rsidR="008634E1" w:rsidRPr="008634E1">
        <w:rPr>
          <w:i/>
          <w:sz w:val="22"/>
          <w:lang w:val="ru-RU"/>
        </w:rPr>
        <w:t xml:space="preserve">.0000000000000070. </w:t>
      </w:r>
    </w:p>
    <w:p w14:paraId="38E3227A" w14:textId="341CB0F6" w:rsidR="005256DC" w:rsidRPr="008634E1" w:rsidRDefault="00000000" w:rsidP="008634E1">
      <w:pPr>
        <w:spacing w:after="240"/>
        <w:rPr>
          <w:lang w:val="ru-RU"/>
        </w:rPr>
      </w:pPr>
      <w:r w:rsidRPr="008634E1">
        <w:rPr>
          <w:b/>
          <w:sz w:val="32"/>
          <w:lang w:val="ru-RU"/>
        </w:rPr>
        <w:t>Роль регуляции эмоций при проблемном видеоигровом поведении и расстройстве, связанном с азартными играми: систематический обзор</w:t>
      </w:r>
    </w:p>
    <w:p w14:paraId="7CAE709E" w14:textId="77777777" w:rsidR="005256DC" w:rsidRPr="008634E1" w:rsidRDefault="00000000">
      <w:pPr>
        <w:pStyle w:val="1"/>
        <w:rPr>
          <w:lang w:val="ru-RU"/>
        </w:rPr>
      </w:pPr>
      <w:r w:rsidRPr="008634E1">
        <w:rPr>
          <w:rFonts w:ascii="Times New Roman" w:hAnsi="Times New Roman"/>
          <w:lang w:val="ru-RU"/>
        </w:rPr>
        <w:t>Аннотация</w:t>
      </w:r>
    </w:p>
    <w:p w14:paraId="4B23567B" w14:textId="77777777" w:rsidR="005256DC" w:rsidRPr="008634E1" w:rsidRDefault="00000000">
      <w:pPr>
        <w:spacing w:after="120"/>
        <w:rPr>
          <w:lang w:val="ru-RU"/>
        </w:rPr>
      </w:pPr>
      <w:r w:rsidRPr="008634E1">
        <w:rPr>
          <w:lang w:val="ru-RU"/>
        </w:rPr>
        <w:t>Поведенческие аддикции в настоящее время признаны психиатрическим состоянием. С этим признанием усилился исследовательский интерес, особенно в областях видеоигр и азартных игр, к этиологии и симптоматике этих поведенческих аддикций. Регуляция эмоций (</w:t>
      </w:r>
      <w:r>
        <w:t>ER</w:t>
      </w:r>
      <w:r w:rsidRPr="008634E1">
        <w:rPr>
          <w:lang w:val="ru-RU"/>
        </w:rPr>
        <w:t xml:space="preserve">) имеет существенное значение для психического здоровья, и исследования подчёркивают связь </w:t>
      </w:r>
      <w:r>
        <w:t>ER</w:t>
      </w:r>
      <w:r w:rsidRPr="008634E1">
        <w:rPr>
          <w:lang w:val="ru-RU"/>
        </w:rPr>
        <w:t xml:space="preserve"> с развитием психопатологии. Однако связь между </w:t>
      </w:r>
      <w:r>
        <w:t>ER</w:t>
      </w:r>
      <w:r w:rsidRPr="008634E1">
        <w:rPr>
          <w:lang w:val="ru-RU"/>
        </w:rPr>
        <w:t xml:space="preserve"> и поведенческими аддикциями остаётся относительно малоизученной.</w:t>
      </w:r>
    </w:p>
    <w:p w14:paraId="25B99AE8" w14:textId="77777777" w:rsidR="005256DC" w:rsidRPr="008634E1" w:rsidRDefault="00000000">
      <w:pPr>
        <w:spacing w:after="120"/>
        <w:rPr>
          <w:lang w:val="ru-RU"/>
        </w:rPr>
      </w:pPr>
      <w:r w:rsidRPr="008634E1">
        <w:rPr>
          <w:b/>
          <w:lang w:val="ru-RU"/>
        </w:rPr>
        <w:t xml:space="preserve">Цель: </w:t>
      </w:r>
      <w:r w:rsidRPr="008634E1">
        <w:rPr>
          <w:lang w:val="ru-RU"/>
        </w:rPr>
        <w:t>в данном обзоре проанализирована недавняя литература, посвящённая этой взаимосвязи.</w:t>
      </w:r>
    </w:p>
    <w:p w14:paraId="5C78712C" w14:textId="77777777" w:rsidR="005256DC" w:rsidRPr="008634E1" w:rsidRDefault="00000000">
      <w:pPr>
        <w:spacing w:after="120"/>
        <w:rPr>
          <w:lang w:val="ru-RU"/>
        </w:rPr>
      </w:pPr>
      <w:r w:rsidRPr="008634E1">
        <w:rPr>
          <w:b/>
          <w:lang w:val="ru-RU"/>
        </w:rPr>
        <w:t xml:space="preserve">Методы: </w:t>
      </w:r>
      <w:r w:rsidRPr="008634E1">
        <w:rPr>
          <w:lang w:val="ru-RU"/>
        </w:rPr>
        <w:t>из первоначальной выборки из 2471 исследования критериям включения соответствовали 20. Были извлечены и критически оценены данные о показателях исходов, методах отбора выборки, результатах и величине эффекта взаимосвязей.</w:t>
      </w:r>
    </w:p>
    <w:p w14:paraId="139A9C59" w14:textId="77777777" w:rsidR="005256DC" w:rsidRPr="008634E1" w:rsidRDefault="00000000">
      <w:pPr>
        <w:spacing w:after="120"/>
        <w:rPr>
          <w:lang w:val="ru-RU"/>
        </w:rPr>
      </w:pPr>
      <w:r w:rsidRPr="008634E1">
        <w:rPr>
          <w:b/>
          <w:lang w:val="ru-RU"/>
        </w:rPr>
        <w:t xml:space="preserve">Результаты: </w:t>
      </w:r>
      <w:r w:rsidRPr="008634E1">
        <w:rPr>
          <w:lang w:val="ru-RU"/>
        </w:rPr>
        <w:t xml:space="preserve">результаты показали, что в 90% исследований более низкий уровень </w:t>
      </w:r>
      <w:r>
        <w:t>ER</w:t>
      </w:r>
      <w:r w:rsidRPr="008634E1">
        <w:rPr>
          <w:lang w:val="ru-RU"/>
        </w:rPr>
        <w:t xml:space="preserve"> был связан с большей выраженностью симптоматики проблемного видеоигрового поведения или расстройства, связанного с азартными играми; при этом в 13 исследованиях (65%) сообщалось о средних и больших величинах эффекта.</w:t>
      </w:r>
    </w:p>
    <w:p w14:paraId="2D6CC35F" w14:textId="77777777" w:rsidR="005256DC" w:rsidRPr="008634E1" w:rsidRDefault="00000000">
      <w:pPr>
        <w:spacing w:after="120"/>
        <w:rPr>
          <w:lang w:val="ru-RU"/>
        </w:rPr>
      </w:pPr>
      <w:r w:rsidRPr="008634E1">
        <w:rPr>
          <w:b/>
          <w:lang w:val="ru-RU"/>
        </w:rPr>
        <w:t xml:space="preserve">Заключение: </w:t>
      </w:r>
      <w:r w:rsidRPr="008634E1">
        <w:rPr>
          <w:lang w:val="ru-RU"/>
        </w:rPr>
        <w:t xml:space="preserve">полученные данные дают углублённое представление о связи между </w:t>
      </w:r>
      <w:r>
        <w:t>ER</w:t>
      </w:r>
      <w:r w:rsidRPr="008634E1">
        <w:rPr>
          <w:lang w:val="ru-RU"/>
        </w:rPr>
        <w:t xml:space="preserve"> и поведенческими аддикциями и подчёркивают ключевую роль </w:t>
      </w:r>
      <w:r>
        <w:t>ER</w:t>
      </w:r>
      <w:r w:rsidRPr="008634E1">
        <w:rPr>
          <w:lang w:val="ru-RU"/>
        </w:rPr>
        <w:t xml:space="preserve"> в этих формах аддиктивного поведения. Обзор даёт новые ориентиры для потенциальных профилактических и интервенционных практик в отношении поведенческих аддикций, а также формулирует рекомендации для будущих исследований.</w:t>
      </w:r>
    </w:p>
    <w:p w14:paraId="408FE077" w14:textId="77777777" w:rsidR="005256DC" w:rsidRPr="008634E1" w:rsidRDefault="00000000">
      <w:pPr>
        <w:spacing w:after="120"/>
        <w:rPr>
          <w:lang w:val="ru-RU"/>
        </w:rPr>
      </w:pPr>
      <w:r w:rsidRPr="008634E1">
        <w:rPr>
          <w:b/>
          <w:lang w:val="ru-RU"/>
        </w:rPr>
        <w:t xml:space="preserve">Ключевые слова: </w:t>
      </w:r>
      <w:r w:rsidRPr="008634E1">
        <w:rPr>
          <w:lang w:val="ru-RU"/>
        </w:rPr>
        <w:t>регуляция эмоций, азартные игры, видеоигры</w:t>
      </w:r>
    </w:p>
    <w:p w14:paraId="6AA2FD9C" w14:textId="77777777" w:rsidR="005256DC" w:rsidRPr="008634E1" w:rsidRDefault="00000000">
      <w:pPr>
        <w:pStyle w:val="1"/>
        <w:rPr>
          <w:lang w:val="ru-RU"/>
        </w:rPr>
      </w:pPr>
      <w:r w:rsidRPr="008634E1">
        <w:rPr>
          <w:rFonts w:ascii="Times New Roman" w:hAnsi="Times New Roman"/>
          <w:lang w:val="ru-RU"/>
        </w:rPr>
        <w:lastRenderedPageBreak/>
        <w:t>Введение</w:t>
      </w:r>
    </w:p>
    <w:p w14:paraId="09E83559" w14:textId="77777777" w:rsidR="005256DC" w:rsidRPr="008634E1" w:rsidRDefault="00000000">
      <w:pPr>
        <w:spacing w:after="120"/>
        <w:rPr>
          <w:lang w:val="ru-RU"/>
        </w:rPr>
      </w:pPr>
      <w:r w:rsidRPr="008634E1">
        <w:rPr>
          <w:lang w:val="ru-RU"/>
        </w:rPr>
        <w:t>С введением новой категории поведенческих аддикций в раздел «Расстройства, связанные с употреблением психоактивных веществ и аддиктивным поведением» пятого издания Диагностического и статистического руководства по психическим расстройствам (</w:t>
      </w:r>
      <w:r>
        <w:t>DSM</w:t>
      </w:r>
      <w:r w:rsidRPr="008634E1">
        <w:rPr>
          <w:lang w:val="ru-RU"/>
        </w:rPr>
        <w:t>-5) усилилась дискуссия вокруг аддикций, не связанных с употреблением веществ [1]. В настоящее время расстройство, связанное с азартными играми (</w:t>
      </w:r>
      <w:r>
        <w:t>GD</w:t>
      </w:r>
      <w:r w:rsidRPr="008634E1">
        <w:rPr>
          <w:lang w:val="ru-RU"/>
        </w:rPr>
        <w:t xml:space="preserve">), является единственным невещевым расстройством, включённым в эту категорию. Однако существуют и другие поведенческие расстройства, имеющие сходство как с расстройствами, связанными с употреблением веществ, так и с </w:t>
      </w:r>
      <w:r>
        <w:t>GD</w:t>
      </w:r>
      <w:r w:rsidRPr="008634E1">
        <w:rPr>
          <w:lang w:val="ru-RU"/>
        </w:rPr>
        <w:t>. Хотя исследования в этой области пока находятся на ранней стадии, одной из таких поведенческих аддикций является компульсивная игра в видеоигры, или интернет-игровое расстройство (</w:t>
      </w:r>
      <w:r>
        <w:t>IGD</w:t>
      </w:r>
      <w:r w:rsidRPr="008634E1">
        <w:rPr>
          <w:lang w:val="ru-RU"/>
        </w:rPr>
        <w:t xml:space="preserve">). Хотя в </w:t>
      </w:r>
      <w:r>
        <w:t>DSM</w:t>
      </w:r>
      <w:r w:rsidRPr="008634E1">
        <w:rPr>
          <w:lang w:val="ru-RU"/>
        </w:rPr>
        <w:t xml:space="preserve">-5 </w:t>
      </w:r>
      <w:r>
        <w:t>IGD</w:t>
      </w:r>
      <w:r w:rsidRPr="008634E1">
        <w:rPr>
          <w:lang w:val="ru-RU"/>
        </w:rPr>
        <w:t xml:space="preserve"> было предложено как состояние, заслуживающее дальнейшего изучения [1], Всемирная организация здравоохранения недавно признала </w:t>
      </w:r>
      <w:r>
        <w:t>IGD</w:t>
      </w:r>
      <w:r w:rsidRPr="008634E1">
        <w:rPr>
          <w:lang w:val="ru-RU"/>
        </w:rPr>
        <w:t xml:space="preserve"> (под названием </w:t>
      </w:r>
      <w:r>
        <w:t>Gaming</w:t>
      </w:r>
      <w:r w:rsidRPr="008634E1">
        <w:rPr>
          <w:lang w:val="ru-RU"/>
        </w:rPr>
        <w:t xml:space="preserve"> </w:t>
      </w:r>
      <w:r>
        <w:t>Disorder</w:t>
      </w:r>
      <w:r w:rsidRPr="008634E1">
        <w:rPr>
          <w:lang w:val="ru-RU"/>
        </w:rPr>
        <w:t>) в 11-м издании Международной классификации болезней (</w:t>
      </w:r>
      <w:r>
        <w:t>ICD</w:t>
      </w:r>
      <w:r w:rsidRPr="008634E1">
        <w:rPr>
          <w:lang w:val="ru-RU"/>
        </w:rPr>
        <w:t>-11), опубликованном в 2018 году [2].</w:t>
      </w:r>
    </w:p>
    <w:p w14:paraId="2C534B7C" w14:textId="77777777" w:rsidR="005256DC" w:rsidRPr="008634E1" w:rsidRDefault="00000000">
      <w:pPr>
        <w:spacing w:after="120"/>
        <w:rPr>
          <w:lang w:val="ru-RU"/>
        </w:rPr>
      </w:pPr>
      <w:r w:rsidRPr="008634E1">
        <w:rPr>
          <w:lang w:val="ru-RU"/>
        </w:rPr>
        <w:t xml:space="preserve">Азартная игра, то есть ситуация, при которой на риск ставится нечто ценное ради возможного получения чего-то ещё более ценного, может рассматриваться как континуум — от отсутствия азартных игр до социального или эпизодического участия, затем азартных игр группы риска и, далее, проблемного/дезадаптивного азартного поведения [3]. В одном исследовании в США сообщалось, что 58% людей участвовали в азартных играх в течение последнего года, причём мужчины делали это чаще, чем женщины [4]. Для </w:t>
      </w:r>
      <w:r>
        <w:t>GD</w:t>
      </w:r>
      <w:r w:rsidRPr="008634E1">
        <w:rPr>
          <w:lang w:val="ru-RU"/>
        </w:rPr>
        <w:t>, то есть устойчивого и рецидивирующего проблемного азартного поведения, приводящего к значимому нарушению функционирования или дистрессу [1], оценочные показатели распространённости составляют от 0,3% до 2,4% среди взрослых и от 0,2% до 12,4% среди подростков и молодых взрослых [5,6].</w:t>
      </w:r>
    </w:p>
    <w:p w14:paraId="128397B6" w14:textId="77777777" w:rsidR="005256DC" w:rsidRPr="008634E1" w:rsidRDefault="00000000">
      <w:pPr>
        <w:spacing w:after="120"/>
        <w:rPr>
          <w:lang w:val="ru-RU"/>
        </w:rPr>
      </w:pPr>
      <w:r w:rsidRPr="008634E1">
        <w:rPr>
          <w:lang w:val="ru-RU"/>
        </w:rPr>
        <w:t xml:space="preserve">Видео- или цифровые игры включают интерактивные игры, в которые играют на электронных устройствах и которыми пользуются миллионы людей по всему миру [7]. В рамках данной статьи термин «видеоигры» используется как охватывающий оба типа игровой активности, хотя ВОЗ различает игрового поведения в видеоиграх и цифровых игр как отдельные формы игровой активности. По данным Ассоциации развлекательного программного обеспечения, 42% американцев регулярно играют в видеоигры (3 часа и более в неделю), а вопреки распространённым стереотипам средний возраст игрока составляет 35 лет [7,8]. В </w:t>
      </w:r>
      <w:r>
        <w:t>ICD</w:t>
      </w:r>
      <w:r w:rsidRPr="008634E1">
        <w:rPr>
          <w:lang w:val="ru-RU"/>
        </w:rPr>
        <w:t>-11 игровое расстройство определяется как паттерн стойкого или рецидивирующего игрового поведения («игрового поведения в цифровых играх» или «игрового поведения в видеоиграх»), которое может осуществляться как онлайн, так и офлайн [2]. Оценочные показатели распространённости расстройства, связанного с видеоиграми, колеблются от 1,7% до 10% в выборках подростков и взрослых из общей популяции [9]. Технологический прогресс позволяет игрокам погружаться во всё более реалистичный виртуальный мир, который нередко становится способом ухода от ограничений повседневной жизни. Для многих такая форма психологического ухода превращается в захватывающий опыт, поглощающий повседневные занятия и обязанности [10].</w:t>
      </w:r>
    </w:p>
    <w:p w14:paraId="5D5FD56A" w14:textId="77777777" w:rsidR="005256DC" w:rsidRPr="008634E1" w:rsidRDefault="00000000">
      <w:pPr>
        <w:spacing w:after="120"/>
        <w:rPr>
          <w:lang w:val="ru-RU"/>
        </w:rPr>
      </w:pPr>
      <w:r w:rsidRPr="008634E1">
        <w:rPr>
          <w:lang w:val="ru-RU"/>
        </w:rPr>
        <w:lastRenderedPageBreak/>
        <w:t xml:space="preserve">Число данных, указывающих на параллели между азартными играми и видеоиграми — как эстетические, так и структурные, — продолжает расти. Например, обе активности опираются на поведенческие принципы вариативного подкрепления, которые поддерживают и продлевают игру. И </w:t>
      </w:r>
      <w:r>
        <w:t>GD</w:t>
      </w:r>
      <w:r w:rsidRPr="008634E1">
        <w:rPr>
          <w:lang w:val="ru-RU"/>
        </w:rPr>
        <w:t xml:space="preserve">, и </w:t>
      </w:r>
      <w:r>
        <w:t>IGD</w:t>
      </w:r>
      <w:r w:rsidRPr="008634E1">
        <w:rPr>
          <w:lang w:val="ru-RU"/>
        </w:rPr>
        <w:t xml:space="preserve"> связаны с финансовыми и социальными трудностями, снижением академической или профессиональной успешности, изоляцией, вовлечённостью в другие рискованные формы поведения (например, рискованное сексуальное поведение, употребление психоактивных веществ), а также большей коморбидностью с расстройствами настроения и другими проблемами психического здоровья [11,12]. Кроме того, чрезмерная вовлечённость в эти виды деятельности нередко мотивируется стремлением уйти от негативных эмоций и тесно связана со снижением самоконтроля, низкой самооценкой, одиночеством, депрессией, а также ситуативной и личностной тревожностью [9,13-15].</w:t>
      </w:r>
    </w:p>
    <w:p w14:paraId="408B3B78" w14:textId="77777777" w:rsidR="005256DC" w:rsidRPr="008634E1" w:rsidRDefault="00000000">
      <w:pPr>
        <w:spacing w:after="120"/>
        <w:rPr>
          <w:lang w:val="ru-RU"/>
        </w:rPr>
      </w:pPr>
      <w:r w:rsidRPr="008634E1">
        <w:rPr>
          <w:lang w:val="ru-RU"/>
        </w:rPr>
        <w:t xml:space="preserve">Несмотря на прогресс в понимании поведенческих компонентов </w:t>
      </w:r>
      <w:r>
        <w:t>GD</w:t>
      </w:r>
      <w:r w:rsidRPr="008634E1">
        <w:rPr>
          <w:lang w:val="ru-RU"/>
        </w:rPr>
        <w:t xml:space="preserve"> и </w:t>
      </w:r>
      <w:r>
        <w:t>IGD</w:t>
      </w:r>
      <w:r w:rsidRPr="008634E1">
        <w:rPr>
          <w:lang w:val="ru-RU"/>
        </w:rPr>
        <w:t xml:space="preserve">, необходимы исследования механизмов, которые могут играть важную роль в развитии и поддержании поведенческих аддикций. Такие исследования критически важны для разработки эффективных, эмпирически обоснованных программ профилактики и интервенции для </w:t>
      </w:r>
      <w:r>
        <w:t>GD</w:t>
      </w:r>
      <w:r w:rsidRPr="008634E1">
        <w:rPr>
          <w:lang w:val="ru-RU"/>
        </w:rPr>
        <w:t xml:space="preserve"> и </w:t>
      </w:r>
      <w:r>
        <w:t>IGD</w:t>
      </w:r>
      <w:r w:rsidRPr="008634E1">
        <w:rPr>
          <w:lang w:val="ru-RU"/>
        </w:rPr>
        <w:t xml:space="preserve">. До настоящего времени исследователи чаще фокусировались на симптоматике (например, депрессии/тревоге), а не на лежащих в основе механизмах, которые могут мотивировать проблемную вовлечённость. С учётом симптоматики этих расстройств, их выраженной коморбидности с расстройствами настроения и стремления чрезмерно вовлекаться в соответствующее поведение как способ уйти от переживаемых негативных эмоций и аффекта, дефициты регуляции эмоций могут представлять собой критически важный механизм, посредством которого развиваются </w:t>
      </w:r>
      <w:r>
        <w:t>GD</w:t>
      </w:r>
      <w:r w:rsidRPr="008634E1">
        <w:rPr>
          <w:lang w:val="ru-RU"/>
        </w:rPr>
        <w:t xml:space="preserve"> и </w:t>
      </w:r>
      <w:r>
        <w:t>IGD</w:t>
      </w:r>
      <w:r w:rsidRPr="008634E1">
        <w:rPr>
          <w:lang w:val="ru-RU"/>
        </w:rPr>
        <w:t xml:space="preserve">. Таким образом, в нашем понимании связи между </w:t>
      </w:r>
      <w:r>
        <w:t>ER</w:t>
      </w:r>
      <w:r w:rsidRPr="008634E1">
        <w:rPr>
          <w:lang w:val="ru-RU"/>
        </w:rPr>
        <w:t xml:space="preserve"> и этими двумя поведенческими аддикциями сохраняется существенный пробел.</w:t>
      </w:r>
    </w:p>
    <w:p w14:paraId="38753D04" w14:textId="77777777" w:rsidR="005256DC" w:rsidRPr="008634E1" w:rsidRDefault="00000000">
      <w:pPr>
        <w:pStyle w:val="21"/>
        <w:rPr>
          <w:lang w:val="ru-RU"/>
        </w:rPr>
      </w:pPr>
      <w:r w:rsidRPr="008634E1">
        <w:rPr>
          <w:rFonts w:ascii="Times New Roman" w:hAnsi="Times New Roman"/>
          <w:lang w:val="ru-RU"/>
        </w:rPr>
        <w:t>Регуляция эмоций</w:t>
      </w:r>
    </w:p>
    <w:p w14:paraId="04B294CE" w14:textId="77777777" w:rsidR="005256DC" w:rsidRPr="008634E1" w:rsidRDefault="00000000">
      <w:pPr>
        <w:spacing w:after="120"/>
        <w:rPr>
          <w:lang w:val="ru-RU"/>
        </w:rPr>
      </w:pPr>
      <w:r w:rsidRPr="008634E1">
        <w:rPr>
          <w:lang w:val="ru-RU"/>
        </w:rPr>
        <w:t xml:space="preserve">Под </w:t>
      </w:r>
      <w:r>
        <w:t>ER</w:t>
      </w:r>
      <w:r w:rsidRPr="008634E1">
        <w:rPr>
          <w:lang w:val="ru-RU"/>
        </w:rPr>
        <w:t xml:space="preserve"> понимается процесс, посредством которого определяется, как и когда выражаются и переживаются отрицательные и положительные эмоции [16]. Исследования показывают, что </w:t>
      </w:r>
      <w:r>
        <w:t>ER</w:t>
      </w:r>
      <w:r w:rsidRPr="008634E1">
        <w:rPr>
          <w:lang w:val="ru-RU"/>
        </w:rPr>
        <w:t xml:space="preserve"> можно рассматривать как трансдиагностический конструкт, поскольку лица с психологическими расстройствами обычно сталкиваются с более выраженными дефицитами </w:t>
      </w:r>
      <w:r>
        <w:t>ER</w:t>
      </w:r>
      <w:r w:rsidRPr="008634E1">
        <w:rPr>
          <w:lang w:val="ru-RU"/>
        </w:rPr>
        <w:t xml:space="preserve"> [17,18]. По Гратц и Ромер [19], трудности </w:t>
      </w:r>
      <w:r>
        <w:t>ER</w:t>
      </w:r>
      <w:r w:rsidRPr="008634E1">
        <w:rPr>
          <w:lang w:val="ru-RU"/>
        </w:rPr>
        <w:t xml:space="preserve"> возникают вследствие неспособности переживать и различать полный спектр эмоций, а также неспособности модулировать более интенсивные отрицательные эмоции. Поэтому человеку важно уметь отслеживать и оценивать собственные эмоциональные переживания, а также управлять выражением этих эмоций с помощью стратегий </w:t>
      </w:r>
      <w:r>
        <w:t>ER</w:t>
      </w:r>
      <w:r w:rsidRPr="008634E1">
        <w:rPr>
          <w:lang w:val="ru-RU"/>
        </w:rPr>
        <w:t xml:space="preserve">. Соответственно, теоретическая модель Гратц и Ромер [19] предполагает, что </w:t>
      </w:r>
      <w:r>
        <w:t>ER</w:t>
      </w:r>
      <w:r w:rsidRPr="008634E1">
        <w:rPr>
          <w:lang w:val="ru-RU"/>
        </w:rPr>
        <w:t xml:space="preserve"> включает четыре общих принципа: (1) осознание и понимание собственных эмоций; (2) принятие факта переживания своих эмоций; (3) способность контролировать импульсивное поведение; и (4) способность гибко использовать стратегии </w:t>
      </w:r>
      <w:r>
        <w:t>ER</w:t>
      </w:r>
      <w:r w:rsidRPr="008634E1">
        <w:rPr>
          <w:lang w:val="ru-RU"/>
        </w:rPr>
        <w:t xml:space="preserve"> в зависимости от контекста. Исследования показывают, что несоответствие любому из этих принципов может приводить к неблагоприятным последствиям для психического здоровья и дистрессу [18,20].</w:t>
      </w:r>
    </w:p>
    <w:p w14:paraId="520347DA" w14:textId="77777777" w:rsidR="005256DC" w:rsidRPr="008634E1" w:rsidRDefault="00000000">
      <w:pPr>
        <w:spacing w:after="120"/>
        <w:rPr>
          <w:lang w:val="ru-RU"/>
        </w:rPr>
      </w:pPr>
      <w:r w:rsidRPr="008634E1">
        <w:rPr>
          <w:lang w:val="ru-RU"/>
        </w:rPr>
        <w:lastRenderedPageBreak/>
        <w:t xml:space="preserve">Способность регулировать эмоции часто реализуется посредством различных </w:t>
      </w:r>
      <w:r>
        <w:t>ER</w:t>
      </w:r>
      <w:r w:rsidRPr="008634E1">
        <w:rPr>
          <w:lang w:val="ru-RU"/>
        </w:rPr>
        <w:t>-стратегий. К адаптивным стратегиям относят, например, решение проблем, принятие/толерантность к эмоциям и когнитивную переоценку (</w:t>
      </w:r>
      <w:r>
        <w:t>adjusting</w:t>
      </w:r>
      <w:r w:rsidRPr="008634E1">
        <w:rPr>
          <w:lang w:val="ru-RU"/>
        </w:rPr>
        <w:t xml:space="preserve">/когнитивная переоценка), тогда как к дезадаптивным обычно относят подавление, руминацию и избегание/скрывание эмоций. Переоценка и </w:t>
      </w:r>
      <w:r>
        <w:t>adjusting</w:t>
      </w:r>
      <w:r w:rsidRPr="008634E1">
        <w:rPr>
          <w:lang w:val="ru-RU"/>
        </w:rPr>
        <w:t xml:space="preserve"> предполагают когнитивное переосмысление значения ситуации для изменения эмоций, тогда как подавление состоит в торможении поведения, связанного с эмоциональным реагированием [18]. В соответствии с этим подходом к </w:t>
      </w:r>
      <w:r>
        <w:t>ER</w:t>
      </w:r>
      <w:r w:rsidRPr="008634E1">
        <w:rPr>
          <w:lang w:val="ru-RU"/>
        </w:rPr>
        <w:t xml:space="preserve"> исследования показывают, что отсутствие принятия собственных эмоций является дезадаптивным и связано с большими трудностями регуляции эмоций [19]. Более того, накапливаются данные о том, что попытки избегать или контролировать внутренний опыт (то есть нежелательные эмоции) лежат в основе многих психологических расстройств [19].</w:t>
      </w:r>
    </w:p>
    <w:p w14:paraId="62E845B1" w14:textId="77777777" w:rsidR="005256DC" w:rsidRPr="008634E1" w:rsidRDefault="00000000">
      <w:pPr>
        <w:spacing w:after="120"/>
        <w:rPr>
          <w:lang w:val="ru-RU"/>
        </w:rPr>
      </w:pPr>
      <w:r w:rsidRPr="008634E1">
        <w:rPr>
          <w:lang w:val="ru-RU"/>
        </w:rPr>
        <w:t xml:space="preserve">Предшествующие исследования показали, что люди с проблемами азартных игр нередко сообщают об участии в азартных играх как о попытке регулировать и избегать нежелательных эмоций [21]. Кроме того, </w:t>
      </w:r>
      <w:r>
        <w:t>Riley</w:t>
      </w:r>
      <w:r w:rsidRPr="008634E1">
        <w:rPr>
          <w:lang w:val="ru-RU"/>
        </w:rPr>
        <w:t xml:space="preserve"> [22] обнаружил, что экспериенциальное избегание предсказывает более высокий уровень проблемного гемблинга у пациентов, обращающихся за лечением, что указывает на недостаточное принятие негативных эмоций и ориентацию на стратегии, позволяющие избегать и подавлять негативные аффективные состояния. Также проблемные игроки регулярно демонстрируют нарушения </w:t>
      </w:r>
      <w:r>
        <w:t>ER</w:t>
      </w:r>
      <w:r w:rsidRPr="008634E1">
        <w:rPr>
          <w:lang w:val="ru-RU"/>
        </w:rPr>
        <w:t xml:space="preserve">-стратегий, связанных с оценкой долгосрочных, а не краткосрочных выгод и издержек. Например, </w:t>
      </w:r>
      <w:r>
        <w:t>Iowa</w:t>
      </w:r>
      <w:r w:rsidRPr="008634E1">
        <w:rPr>
          <w:lang w:val="ru-RU"/>
        </w:rPr>
        <w:t xml:space="preserve"> </w:t>
      </w:r>
      <w:r>
        <w:t>Gambling</w:t>
      </w:r>
      <w:r w:rsidRPr="008634E1">
        <w:rPr>
          <w:lang w:val="ru-RU"/>
        </w:rPr>
        <w:t xml:space="preserve"> </w:t>
      </w:r>
      <w:r>
        <w:t>Task</w:t>
      </w:r>
      <w:r w:rsidRPr="008634E1">
        <w:rPr>
          <w:lang w:val="ru-RU"/>
        </w:rPr>
        <w:t xml:space="preserve"> оценивает поведение при принятии решений через процесс научения на денежных вознаграждениях и наказаниях. Проблемные игроки стабильно показывают худшие результаты по сравнению с контрольной группой, поскольку продолжают выбирать более крупные немедленные вознаграждения, несмотря на более серьёзные долгосрочные потери [23,24]. Такие ограничения репертуара </w:t>
      </w:r>
      <w:r>
        <w:t>ER</w:t>
      </w:r>
      <w:r w:rsidRPr="008634E1">
        <w:rPr>
          <w:lang w:val="ru-RU"/>
        </w:rPr>
        <w:t>-стратегий можно понимать как «миопию по отношению к будущему», при которой проблемные игроки не видят разнообразных регуляторных стратегий, которые вели бы к более благоприятным долгосрочным решениям. Это, в свою очередь, указывает на недостаточную гибкость и неспособность контролировать импульсивное поведение, часто дорого обходящееся самому человеку.</w:t>
      </w:r>
    </w:p>
    <w:p w14:paraId="03C68CCB" w14:textId="77777777" w:rsidR="005256DC" w:rsidRPr="008634E1" w:rsidRDefault="00000000">
      <w:pPr>
        <w:spacing w:after="120"/>
        <w:rPr>
          <w:lang w:val="ru-RU"/>
        </w:rPr>
      </w:pPr>
      <w:r w:rsidRPr="008634E1">
        <w:rPr>
          <w:lang w:val="ru-RU"/>
        </w:rPr>
        <w:t xml:space="preserve">Учитывая, что люди с проблемами азартных игр и видеоигр часто сообщают об участии в соответствующем поведении как о попытке регулировать и/или избегать нежелательных эмоций [21,25], можно предположить, что они используют эти виды активности как дезадаптивные </w:t>
      </w:r>
      <w:r>
        <w:t>ER</w:t>
      </w:r>
      <w:r w:rsidRPr="008634E1">
        <w:rPr>
          <w:lang w:val="ru-RU"/>
        </w:rPr>
        <w:t xml:space="preserve">-стратегии. Однако связь между этими двумя переменными остаётся относительно малоисследованной. Понимание роли </w:t>
      </w:r>
      <w:r>
        <w:t>ER</w:t>
      </w:r>
      <w:r w:rsidRPr="008634E1">
        <w:rPr>
          <w:lang w:val="ru-RU"/>
        </w:rPr>
        <w:t xml:space="preserve"> в чрезмерной вовлечённости в азартные игры и видеоигры может позволить выявлять лиц с дефицитными или дезадаптивными </w:t>
      </w:r>
      <w:r>
        <w:t>ER</w:t>
      </w:r>
      <w:r w:rsidRPr="008634E1">
        <w:rPr>
          <w:lang w:val="ru-RU"/>
        </w:rPr>
        <w:t xml:space="preserve">-навыками и предлагать им программы снижения риска поведенческих аддикций. Наконец, подтверждение вероятной связи между дефицитами </w:t>
      </w:r>
      <w:r>
        <w:t>ER</w:t>
      </w:r>
      <w:r w:rsidRPr="008634E1">
        <w:rPr>
          <w:lang w:val="ru-RU"/>
        </w:rPr>
        <w:t xml:space="preserve"> и поведенческими аддикциями будет способствовать развитию доступных вариантов лечения. Поэтому основная цель данного обзора состояла в том, чтобы изучить связь между </w:t>
      </w:r>
      <w:r>
        <w:t>ER</w:t>
      </w:r>
      <w:r w:rsidRPr="008634E1">
        <w:rPr>
          <w:lang w:val="ru-RU"/>
        </w:rPr>
        <w:t xml:space="preserve"> и проблемным азартным поведением и видеоиграми, а также выявить пробелы и ограничения в литературе.</w:t>
      </w:r>
    </w:p>
    <w:p w14:paraId="7313F407" w14:textId="77777777" w:rsidR="005256DC" w:rsidRPr="008634E1" w:rsidRDefault="00000000">
      <w:pPr>
        <w:pStyle w:val="1"/>
        <w:rPr>
          <w:lang w:val="ru-RU"/>
        </w:rPr>
      </w:pPr>
      <w:r w:rsidRPr="008634E1">
        <w:rPr>
          <w:rFonts w:ascii="Times New Roman" w:hAnsi="Times New Roman"/>
          <w:lang w:val="ru-RU"/>
        </w:rPr>
        <w:lastRenderedPageBreak/>
        <w:t>Методы</w:t>
      </w:r>
    </w:p>
    <w:p w14:paraId="5F8597CB" w14:textId="77777777" w:rsidR="005256DC" w:rsidRPr="008634E1" w:rsidRDefault="00000000">
      <w:pPr>
        <w:spacing w:after="120"/>
        <w:rPr>
          <w:lang w:val="ru-RU"/>
        </w:rPr>
      </w:pPr>
      <w:r w:rsidRPr="008634E1">
        <w:rPr>
          <w:lang w:val="ru-RU"/>
        </w:rPr>
        <w:t xml:space="preserve">Методология данного обзора соответствовала протоколу </w:t>
      </w:r>
      <w:r>
        <w:t>Preferred</w:t>
      </w:r>
      <w:r w:rsidRPr="008634E1">
        <w:rPr>
          <w:lang w:val="ru-RU"/>
        </w:rPr>
        <w:t xml:space="preserve"> </w:t>
      </w:r>
      <w:r>
        <w:t>Reporting</w:t>
      </w:r>
      <w:r w:rsidRPr="008634E1">
        <w:rPr>
          <w:lang w:val="ru-RU"/>
        </w:rPr>
        <w:t xml:space="preserve"> </w:t>
      </w:r>
      <w:r>
        <w:t>Items</w:t>
      </w:r>
      <w:r w:rsidRPr="008634E1">
        <w:rPr>
          <w:lang w:val="ru-RU"/>
        </w:rPr>
        <w:t xml:space="preserve"> </w:t>
      </w:r>
      <w:r>
        <w:t>for</w:t>
      </w:r>
      <w:r w:rsidRPr="008634E1">
        <w:rPr>
          <w:lang w:val="ru-RU"/>
        </w:rPr>
        <w:t xml:space="preserve"> </w:t>
      </w:r>
      <w:r>
        <w:t>Systematic</w:t>
      </w:r>
      <w:r w:rsidRPr="008634E1">
        <w:rPr>
          <w:lang w:val="ru-RU"/>
        </w:rPr>
        <w:t xml:space="preserve"> </w:t>
      </w:r>
      <w:r>
        <w:t>Reviews</w:t>
      </w:r>
      <w:r w:rsidRPr="008634E1">
        <w:rPr>
          <w:lang w:val="ru-RU"/>
        </w:rPr>
        <w:t xml:space="preserve"> </w:t>
      </w:r>
      <w:r>
        <w:t>and</w:t>
      </w:r>
      <w:r w:rsidRPr="008634E1">
        <w:rPr>
          <w:lang w:val="ru-RU"/>
        </w:rPr>
        <w:t xml:space="preserve"> </w:t>
      </w:r>
      <w:r>
        <w:t>Meta</w:t>
      </w:r>
      <w:r w:rsidRPr="008634E1">
        <w:rPr>
          <w:lang w:val="ru-RU"/>
        </w:rPr>
        <w:t>-</w:t>
      </w:r>
      <w:r>
        <w:t>Analyses</w:t>
      </w:r>
      <w:r w:rsidRPr="008634E1">
        <w:rPr>
          <w:lang w:val="ru-RU"/>
        </w:rPr>
        <w:t xml:space="preserve"> (</w:t>
      </w:r>
      <w:r>
        <w:t>PRISMA</w:t>
      </w:r>
      <w:r w:rsidRPr="008634E1">
        <w:rPr>
          <w:lang w:val="ru-RU"/>
        </w:rPr>
        <w:t>) при проектировании, проведении и представлении результатов [26].</w:t>
      </w:r>
    </w:p>
    <w:p w14:paraId="231D2C20" w14:textId="77777777" w:rsidR="005256DC" w:rsidRPr="008634E1" w:rsidRDefault="00000000">
      <w:pPr>
        <w:pStyle w:val="21"/>
        <w:rPr>
          <w:lang w:val="ru-RU"/>
        </w:rPr>
      </w:pPr>
      <w:r w:rsidRPr="008634E1">
        <w:rPr>
          <w:rFonts w:ascii="Times New Roman" w:hAnsi="Times New Roman"/>
          <w:lang w:val="ru-RU"/>
        </w:rPr>
        <w:t>Критерии включения</w:t>
      </w:r>
    </w:p>
    <w:p w14:paraId="31329840" w14:textId="77777777" w:rsidR="005256DC" w:rsidRPr="008634E1" w:rsidRDefault="00000000">
      <w:pPr>
        <w:spacing w:after="120"/>
        <w:rPr>
          <w:lang w:val="ru-RU"/>
        </w:rPr>
      </w:pPr>
      <w:r w:rsidRPr="008634E1">
        <w:rPr>
          <w:lang w:val="ru-RU"/>
        </w:rPr>
        <w:t xml:space="preserve">Поскольку ранее уже был выполнен систематический обзор исследований за 1990-2009 годы, посвящённый эмоциональному интеллекту и гемблингу [27], в настоящий обзор были включены все количественные исследования, опубликованные в период с января 2010 года по март 2019 года, то есть наиболее современная литература по данной теме. Кроме того, в обзор включались только англоязычные статьи, опубликованные в рецензируемых журналах и рассматривавшие связь между </w:t>
      </w:r>
      <w:r>
        <w:t>ER</w:t>
      </w:r>
      <w:r w:rsidRPr="008634E1">
        <w:rPr>
          <w:lang w:val="ru-RU"/>
        </w:rPr>
        <w:t xml:space="preserve"> (то есть в рамках теоретической модели Гратц и Ромер) или стратегиями регуляции эмоций (например, когнитивная переоценка/экспрессивное подавление) и проблемным азартным поведением и/или видеоиграми. Использованные в исследованиях методики должны были ранее пройти валидацию и демонстрировать хорошие психометрические свойства. Исследования на животных и интервенционные исследования не включались.</w:t>
      </w:r>
    </w:p>
    <w:p w14:paraId="7D0793CE" w14:textId="77777777" w:rsidR="005256DC" w:rsidRPr="008634E1" w:rsidRDefault="00000000">
      <w:pPr>
        <w:pStyle w:val="21"/>
        <w:rPr>
          <w:lang w:val="ru-RU"/>
        </w:rPr>
      </w:pPr>
      <w:r w:rsidRPr="008634E1">
        <w:rPr>
          <w:rFonts w:ascii="Times New Roman" w:hAnsi="Times New Roman"/>
          <w:lang w:val="ru-RU"/>
        </w:rPr>
        <w:t>Стратегия поиска</w:t>
      </w:r>
    </w:p>
    <w:p w14:paraId="26BE4DC2" w14:textId="77777777" w:rsidR="005256DC" w:rsidRDefault="00000000">
      <w:pPr>
        <w:spacing w:after="120"/>
      </w:pPr>
      <w:r w:rsidRPr="008634E1">
        <w:rPr>
          <w:lang w:val="ru-RU"/>
        </w:rPr>
        <w:t xml:space="preserve">Исследования идентифицировались как посредством поиска в электронных базах данных, так и путём обратного поиска по спискам литературы релевантных статей. </w:t>
      </w:r>
      <w:r>
        <w:t>Поиск выполнялся в базах PsycINFO, Medline, PubMed и Web of Science. Электронный поиск проводился по двум группам ключевых слов. Для ER использовались следующие ключевые слова: Emotion OR Regulation, Emotion Dysregulation, Regulation of Emotions, Self-Regulation, Emotional Control, Emotional Management, Emotional Response и Emotional Reactivity. Для аддикций, связанных с видеоиграми и азартными играми, использовались следующие ключевые слова: Gambl*, Gambling Disorder, Gambling Addiction, Pathological Gambling, Gaming, Gaming Disorder, Internet Gaming Disorder, Pathological Gaming и Video Gaming Addiction.</w:t>
      </w:r>
    </w:p>
    <w:p w14:paraId="6DB9D1FB" w14:textId="77777777" w:rsidR="005256DC" w:rsidRPr="008634E1" w:rsidRDefault="00000000">
      <w:pPr>
        <w:pStyle w:val="21"/>
        <w:rPr>
          <w:lang w:val="ru-RU"/>
        </w:rPr>
      </w:pPr>
      <w:r w:rsidRPr="008634E1">
        <w:rPr>
          <w:rFonts w:ascii="Times New Roman" w:hAnsi="Times New Roman"/>
          <w:lang w:val="ru-RU"/>
        </w:rPr>
        <w:t>Сбор данных</w:t>
      </w:r>
    </w:p>
    <w:p w14:paraId="0CB98778" w14:textId="77777777" w:rsidR="005256DC" w:rsidRPr="008634E1" w:rsidRDefault="00000000">
      <w:pPr>
        <w:spacing w:after="120"/>
        <w:rPr>
          <w:lang w:val="ru-RU"/>
        </w:rPr>
      </w:pPr>
      <w:r w:rsidRPr="008634E1">
        <w:rPr>
          <w:lang w:val="ru-RU"/>
        </w:rPr>
        <w:t xml:space="preserve">Извлечение данных из каждой публикации осуществлялось первым автором и затем пересматривалось вторым автором на предмет возможных несоответствий. Сюда входили сведения о: (1) авторе и годе публикации; (2) стране проведения исследования; (3) типе поведенческой аддикции; (4) методе отбора выборки; (5) характеристиках выборки (возраст, объём выборки); (6) показателях исходов для поведенческих аддикций и </w:t>
      </w:r>
      <w:r>
        <w:t>ER</w:t>
      </w:r>
      <w:r w:rsidRPr="008634E1">
        <w:rPr>
          <w:lang w:val="ru-RU"/>
        </w:rPr>
        <w:t xml:space="preserve"> (методики, оцениваемые конструкты); (7) применённых статистических анализах; и (8) результатах исследования (таблица 1). Извлечённые данные были проверены вторым автором.</w:t>
      </w:r>
    </w:p>
    <w:p w14:paraId="448EAEAE" w14:textId="77777777" w:rsidR="005256DC" w:rsidRPr="008634E1" w:rsidRDefault="00000000">
      <w:pPr>
        <w:pStyle w:val="1"/>
        <w:rPr>
          <w:lang w:val="ru-RU"/>
        </w:rPr>
      </w:pPr>
      <w:r w:rsidRPr="008634E1">
        <w:rPr>
          <w:rFonts w:ascii="Times New Roman" w:hAnsi="Times New Roman"/>
          <w:lang w:val="ru-RU"/>
        </w:rPr>
        <w:t>Результаты</w:t>
      </w:r>
    </w:p>
    <w:p w14:paraId="30D029DF" w14:textId="77777777" w:rsidR="005256DC" w:rsidRPr="008634E1" w:rsidRDefault="00000000">
      <w:pPr>
        <w:pStyle w:val="21"/>
        <w:rPr>
          <w:lang w:val="ru-RU"/>
        </w:rPr>
      </w:pPr>
      <w:r w:rsidRPr="008634E1">
        <w:rPr>
          <w:rFonts w:ascii="Times New Roman" w:hAnsi="Times New Roman"/>
          <w:lang w:val="ru-RU"/>
        </w:rPr>
        <w:t>Отбор исследований</w:t>
      </w:r>
    </w:p>
    <w:p w14:paraId="3CE30FA0" w14:textId="77777777" w:rsidR="005256DC" w:rsidRPr="008634E1" w:rsidRDefault="00000000">
      <w:pPr>
        <w:spacing w:after="120"/>
        <w:rPr>
          <w:lang w:val="ru-RU"/>
        </w:rPr>
      </w:pPr>
      <w:r w:rsidRPr="008634E1">
        <w:rPr>
          <w:lang w:val="ru-RU"/>
        </w:rPr>
        <w:t xml:space="preserve">Все полученные записи проходили проверку на соответствие критериям в три этапа: (1) первоначальный скрининг названий и аннотаций, (2) полнотекстовый скрининг и (3) этап </w:t>
      </w:r>
      <w:r w:rsidRPr="008634E1">
        <w:rPr>
          <w:lang w:val="ru-RU"/>
        </w:rPr>
        <w:lastRenderedPageBreak/>
        <w:t>извлечения данных (см. рисунок 1 со схемой отбора исследований). В обзор было включено 20 статей, удовлетворявших всем критериям. Первый и второй авторы независимо оценивали статьи; коэффициент согласия составил 91%. Десять статей были отмечены для обсуждения из-за незначительных расхождений в оценках, после чего авторы обсуждали их до достижения единого решения.</w:t>
      </w:r>
    </w:p>
    <w:p w14:paraId="6DDB4F21" w14:textId="77777777" w:rsidR="005256DC" w:rsidRPr="008634E1" w:rsidRDefault="005256DC">
      <w:pPr>
        <w:rPr>
          <w:lang w:val="ru-RU"/>
        </w:rPr>
        <w:sectPr w:rsidR="005256DC" w:rsidRPr="008634E1">
          <w:pgSz w:w="12240" w:h="15840"/>
          <w:pgMar w:top="1134" w:right="1247" w:bottom="1134" w:left="1247" w:header="720" w:footer="720" w:gutter="0"/>
          <w:cols w:space="720"/>
          <w:docGrid w:linePitch="360"/>
        </w:sectPr>
      </w:pPr>
    </w:p>
    <w:p w14:paraId="1177954F" w14:textId="77777777" w:rsidR="005256DC" w:rsidRPr="008634E1" w:rsidRDefault="00000000">
      <w:pPr>
        <w:spacing w:after="120"/>
        <w:rPr>
          <w:lang w:val="ru-RU"/>
        </w:rPr>
      </w:pPr>
      <w:r w:rsidRPr="008634E1">
        <w:rPr>
          <w:i/>
          <w:sz w:val="22"/>
          <w:lang w:val="ru-RU"/>
        </w:rPr>
        <w:lastRenderedPageBreak/>
        <w:t>Таблица 1. Исследования, включённые в систематический обзор.</w:t>
      </w:r>
    </w:p>
    <w:tbl>
      <w:tblPr>
        <w:tblStyle w:val="aff0"/>
        <w:tblW w:w="0" w:type="auto"/>
        <w:jc w:val="center"/>
        <w:tblLayout w:type="fixed"/>
        <w:tblLook w:val="04A0" w:firstRow="1" w:lastRow="0" w:firstColumn="1" w:lastColumn="0" w:noHBand="0" w:noVBand="1"/>
      </w:tblPr>
      <w:tblGrid>
        <w:gridCol w:w="1440"/>
        <w:gridCol w:w="1007"/>
        <w:gridCol w:w="1296"/>
        <w:gridCol w:w="1440"/>
        <w:gridCol w:w="2160"/>
        <w:gridCol w:w="1512"/>
        <w:gridCol w:w="1800"/>
        <w:gridCol w:w="4392"/>
      </w:tblGrid>
      <w:tr w:rsidR="005256DC" w14:paraId="0CD1A69E" w14:textId="77777777">
        <w:trPr>
          <w:tblHeader/>
          <w:jc w:val="center"/>
        </w:trPr>
        <w:tc>
          <w:tcPr>
            <w:tcW w:w="1440" w:type="dxa"/>
            <w:shd w:val="clear" w:color="auto" w:fill="D9E2F3"/>
            <w:vAlign w:val="center"/>
          </w:tcPr>
          <w:p w14:paraId="33A7B5F7" w14:textId="77777777" w:rsidR="005256DC" w:rsidRDefault="00000000">
            <w:pPr>
              <w:jc w:val="center"/>
            </w:pPr>
            <w:r>
              <w:rPr>
                <w:b/>
                <w:sz w:val="16"/>
              </w:rPr>
              <w:t>Исследование</w:t>
            </w:r>
          </w:p>
        </w:tc>
        <w:tc>
          <w:tcPr>
            <w:tcW w:w="1007" w:type="dxa"/>
            <w:shd w:val="clear" w:color="auto" w:fill="D9E2F3"/>
            <w:vAlign w:val="center"/>
          </w:tcPr>
          <w:p w14:paraId="43FC9C66" w14:textId="77777777" w:rsidR="005256DC" w:rsidRDefault="00000000">
            <w:pPr>
              <w:jc w:val="center"/>
            </w:pPr>
            <w:r>
              <w:rPr>
                <w:b/>
                <w:sz w:val="16"/>
              </w:rPr>
              <w:t>Страна</w:t>
            </w:r>
          </w:p>
        </w:tc>
        <w:tc>
          <w:tcPr>
            <w:tcW w:w="1296" w:type="dxa"/>
            <w:shd w:val="clear" w:color="auto" w:fill="D9E2F3"/>
            <w:vAlign w:val="center"/>
          </w:tcPr>
          <w:p w14:paraId="4D08BC76" w14:textId="77777777" w:rsidR="005256DC" w:rsidRDefault="00000000">
            <w:pPr>
              <w:jc w:val="center"/>
            </w:pPr>
            <w:r>
              <w:rPr>
                <w:b/>
                <w:sz w:val="16"/>
              </w:rPr>
              <w:t>Тип</w:t>
            </w:r>
            <w:r>
              <w:rPr>
                <w:b/>
                <w:sz w:val="16"/>
              </w:rPr>
              <w:br/>
              <w:t>аддикции</w:t>
            </w:r>
          </w:p>
        </w:tc>
        <w:tc>
          <w:tcPr>
            <w:tcW w:w="1440" w:type="dxa"/>
            <w:shd w:val="clear" w:color="auto" w:fill="D9E2F3"/>
            <w:vAlign w:val="center"/>
          </w:tcPr>
          <w:p w14:paraId="6332D8AD" w14:textId="77777777" w:rsidR="005256DC" w:rsidRDefault="00000000">
            <w:pPr>
              <w:jc w:val="center"/>
            </w:pPr>
            <w:r>
              <w:rPr>
                <w:b/>
                <w:sz w:val="16"/>
              </w:rPr>
              <w:t>Отбор</w:t>
            </w:r>
            <w:r>
              <w:rPr>
                <w:b/>
                <w:sz w:val="16"/>
              </w:rPr>
              <w:br/>
              <w:t>выборки</w:t>
            </w:r>
          </w:p>
        </w:tc>
        <w:tc>
          <w:tcPr>
            <w:tcW w:w="2160" w:type="dxa"/>
            <w:shd w:val="clear" w:color="auto" w:fill="D9E2F3"/>
            <w:vAlign w:val="center"/>
          </w:tcPr>
          <w:p w14:paraId="30AF4E93" w14:textId="77777777" w:rsidR="005256DC" w:rsidRDefault="00000000">
            <w:pPr>
              <w:jc w:val="center"/>
            </w:pPr>
            <w:r>
              <w:rPr>
                <w:b/>
                <w:sz w:val="16"/>
              </w:rPr>
              <w:t>Характеристики выборки</w:t>
            </w:r>
          </w:p>
        </w:tc>
        <w:tc>
          <w:tcPr>
            <w:tcW w:w="1512" w:type="dxa"/>
            <w:shd w:val="clear" w:color="auto" w:fill="D9E2F3"/>
            <w:vAlign w:val="center"/>
          </w:tcPr>
          <w:p w14:paraId="50661C31" w14:textId="77777777" w:rsidR="005256DC" w:rsidRDefault="00000000">
            <w:pPr>
              <w:jc w:val="center"/>
            </w:pPr>
            <w:r>
              <w:rPr>
                <w:b/>
                <w:sz w:val="16"/>
              </w:rPr>
              <w:t>Показатели</w:t>
            </w:r>
            <w:r>
              <w:rPr>
                <w:b/>
                <w:sz w:val="16"/>
              </w:rPr>
              <w:br/>
              <w:t>аддикции и ER</w:t>
            </w:r>
          </w:p>
        </w:tc>
        <w:tc>
          <w:tcPr>
            <w:tcW w:w="1800" w:type="dxa"/>
            <w:shd w:val="clear" w:color="auto" w:fill="D9E2F3"/>
            <w:vAlign w:val="center"/>
          </w:tcPr>
          <w:p w14:paraId="785465E1" w14:textId="77777777" w:rsidR="005256DC" w:rsidRDefault="00000000">
            <w:pPr>
              <w:jc w:val="center"/>
            </w:pPr>
            <w:r>
              <w:rPr>
                <w:b/>
                <w:sz w:val="16"/>
              </w:rPr>
              <w:t>Статистический анализ</w:t>
            </w:r>
          </w:p>
        </w:tc>
        <w:tc>
          <w:tcPr>
            <w:tcW w:w="4392" w:type="dxa"/>
            <w:shd w:val="clear" w:color="auto" w:fill="D9E2F3"/>
            <w:vAlign w:val="center"/>
          </w:tcPr>
          <w:p w14:paraId="58D56006" w14:textId="77777777" w:rsidR="005256DC" w:rsidRDefault="00000000">
            <w:pPr>
              <w:jc w:val="center"/>
            </w:pPr>
            <w:r>
              <w:rPr>
                <w:b/>
                <w:sz w:val="16"/>
              </w:rPr>
              <w:t>Результаты</w:t>
            </w:r>
          </w:p>
        </w:tc>
      </w:tr>
      <w:tr w:rsidR="005256DC" w:rsidRPr="008634E1" w14:paraId="3C01B8F4" w14:textId="77777777">
        <w:trPr>
          <w:cantSplit/>
          <w:jc w:val="center"/>
        </w:trPr>
        <w:tc>
          <w:tcPr>
            <w:tcW w:w="1440" w:type="dxa"/>
            <w:vAlign w:val="center"/>
          </w:tcPr>
          <w:p w14:paraId="61F1A61B" w14:textId="77777777" w:rsidR="005256DC" w:rsidRDefault="00000000">
            <w:r>
              <w:rPr>
                <w:sz w:val="15"/>
              </w:rPr>
              <w:t>1. Amendola et al. (2019)</w:t>
            </w:r>
          </w:p>
        </w:tc>
        <w:tc>
          <w:tcPr>
            <w:tcW w:w="1007" w:type="dxa"/>
            <w:vAlign w:val="center"/>
          </w:tcPr>
          <w:p w14:paraId="0E7E482E" w14:textId="77777777" w:rsidR="005256DC" w:rsidRDefault="00000000">
            <w:pPr>
              <w:jc w:val="center"/>
            </w:pPr>
            <w:r>
              <w:rPr>
                <w:sz w:val="15"/>
              </w:rPr>
              <w:t>Италия</w:t>
            </w:r>
          </w:p>
        </w:tc>
        <w:tc>
          <w:tcPr>
            <w:tcW w:w="1296" w:type="dxa"/>
            <w:vAlign w:val="center"/>
          </w:tcPr>
          <w:p w14:paraId="1DA3D58B" w14:textId="77777777" w:rsidR="005256DC" w:rsidRDefault="00000000">
            <w:pPr>
              <w:jc w:val="center"/>
            </w:pPr>
            <w:r>
              <w:rPr>
                <w:sz w:val="15"/>
              </w:rPr>
              <w:t>Видеоигры</w:t>
            </w:r>
          </w:p>
        </w:tc>
        <w:tc>
          <w:tcPr>
            <w:tcW w:w="1440" w:type="dxa"/>
            <w:vAlign w:val="center"/>
          </w:tcPr>
          <w:p w14:paraId="3143FE41" w14:textId="77777777" w:rsidR="005256DC" w:rsidRDefault="00000000">
            <w:pPr>
              <w:jc w:val="center"/>
            </w:pPr>
            <w:r>
              <w:rPr>
                <w:sz w:val="15"/>
              </w:rPr>
              <w:t>Удобная</w:t>
            </w:r>
            <w:r>
              <w:rPr>
                <w:sz w:val="15"/>
              </w:rPr>
              <w:br/>
              <w:t>общая выборка</w:t>
            </w:r>
          </w:p>
        </w:tc>
        <w:tc>
          <w:tcPr>
            <w:tcW w:w="2160" w:type="dxa"/>
            <w:vAlign w:val="center"/>
          </w:tcPr>
          <w:p w14:paraId="187DC567" w14:textId="77777777" w:rsidR="005256DC" w:rsidRPr="008634E1" w:rsidRDefault="00000000">
            <w:pPr>
              <w:rPr>
                <w:lang w:val="ru-RU"/>
              </w:rPr>
            </w:pPr>
            <w:r>
              <w:rPr>
                <w:sz w:val="15"/>
              </w:rPr>
              <w:t>N</w:t>
            </w:r>
            <w:r w:rsidRPr="008634E1">
              <w:rPr>
                <w:sz w:val="15"/>
                <w:lang w:val="ru-RU"/>
              </w:rPr>
              <w:t xml:space="preserve">=280 (49%); </w:t>
            </w:r>
            <w:r>
              <w:rPr>
                <w:sz w:val="15"/>
              </w:rPr>
              <w:t>M</w:t>
            </w:r>
            <w:r w:rsidRPr="008634E1">
              <w:rPr>
                <w:sz w:val="15"/>
                <w:lang w:val="ru-RU"/>
              </w:rPr>
              <w:t>возр.=13,31 года (</w:t>
            </w:r>
            <w:r>
              <w:rPr>
                <w:sz w:val="15"/>
              </w:rPr>
              <w:t>SD</w:t>
            </w:r>
            <w:r w:rsidRPr="008634E1">
              <w:rPr>
                <w:sz w:val="15"/>
                <w:lang w:val="ru-RU"/>
              </w:rPr>
              <w:t>=2,33; диапазон 11-18)</w:t>
            </w:r>
          </w:p>
        </w:tc>
        <w:tc>
          <w:tcPr>
            <w:tcW w:w="1512" w:type="dxa"/>
            <w:vAlign w:val="center"/>
          </w:tcPr>
          <w:p w14:paraId="2C0AC654" w14:textId="77777777" w:rsidR="005256DC" w:rsidRDefault="00000000">
            <w:r>
              <w:rPr>
                <w:sz w:val="15"/>
              </w:rPr>
              <w:t>CSAS, DERS</w:t>
            </w:r>
          </w:p>
        </w:tc>
        <w:tc>
          <w:tcPr>
            <w:tcW w:w="1800" w:type="dxa"/>
            <w:vAlign w:val="center"/>
          </w:tcPr>
          <w:p w14:paraId="34674A0D" w14:textId="77777777" w:rsidR="005256DC" w:rsidRDefault="00000000">
            <w:r>
              <w:rPr>
                <w:sz w:val="15"/>
              </w:rPr>
              <w:t>ANOVA; множественная линейная регрессия</w:t>
            </w:r>
          </w:p>
        </w:tc>
        <w:tc>
          <w:tcPr>
            <w:tcW w:w="4392" w:type="dxa"/>
            <w:vAlign w:val="center"/>
          </w:tcPr>
          <w:p w14:paraId="79909DC6" w14:textId="77777777" w:rsidR="005256DC" w:rsidRPr="008634E1" w:rsidRDefault="00000000">
            <w:pPr>
              <w:rPr>
                <w:lang w:val="ru-RU"/>
              </w:rPr>
            </w:pPr>
            <w:r w:rsidRPr="008634E1">
              <w:rPr>
                <w:sz w:val="15"/>
                <w:lang w:val="ru-RU"/>
              </w:rPr>
              <w:t xml:space="preserve">Подшкала «стратегии» по </w:t>
            </w:r>
            <w:r>
              <w:rPr>
                <w:sz w:val="15"/>
              </w:rPr>
              <w:t>DERS</w:t>
            </w:r>
            <w:r w:rsidRPr="008634E1">
              <w:rPr>
                <w:sz w:val="15"/>
                <w:lang w:val="ru-RU"/>
              </w:rPr>
              <w:t xml:space="preserve"> была наилучшим предиктором </w:t>
            </w:r>
            <w:r>
              <w:rPr>
                <w:sz w:val="15"/>
              </w:rPr>
              <w:t>IGD</w:t>
            </w:r>
            <w:r w:rsidRPr="008634E1">
              <w:rPr>
                <w:sz w:val="15"/>
                <w:lang w:val="ru-RU"/>
              </w:rPr>
              <w:t xml:space="preserve">; показатели стратегий, непринятия и мужской пол объясняли 29% дисперсии </w:t>
            </w:r>
            <w:r>
              <w:rPr>
                <w:sz w:val="15"/>
              </w:rPr>
              <w:t>IGD</w:t>
            </w:r>
            <w:r w:rsidRPr="008634E1">
              <w:rPr>
                <w:sz w:val="15"/>
                <w:lang w:val="ru-RU"/>
              </w:rPr>
              <w:t>.</w:t>
            </w:r>
          </w:p>
        </w:tc>
      </w:tr>
      <w:tr w:rsidR="005256DC" w:rsidRPr="008634E1" w14:paraId="1FA5F56F" w14:textId="77777777">
        <w:trPr>
          <w:cantSplit/>
          <w:jc w:val="center"/>
        </w:trPr>
        <w:tc>
          <w:tcPr>
            <w:tcW w:w="1440" w:type="dxa"/>
            <w:vAlign w:val="center"/>
          </w:tcPr>
          <w:p w14:paraId="2921446E" w14:textId="77777777" w:rsidR="005256DC" w:rsidRDefault="00000000">
            <w:r>
              <w:rPr>
                <w:sz w:val="15"/>
              </w:rPr>
              <w:t>2. Barrault et al. (2017)</w:t>
            </w:r>
          </w:p>
        </w:tc>
        <w:tc>
          <w:tcPr>
            <w:tcW w:w="1007" w:type="dxa"/>
            <w:vAlign w:val="center"/>
          </w:tcPr>
          <w:p w14:paraId="7C4AF6FD" w14:textId="77777777" w:rsidR="005256DC" w:rsidRDefault="00000000">
            <w:pPr>
              <w:jc w:val="center"/>
            </w:pPr>
            <w:r>
              <w:rPr>
                <w:sz w:val="15"/>
              </w:rPr>
              <w:t>Франция</w:t>
            </w:r>
          </w:p>
        </w:tc>
        <w:tc>
          <w:tcPr>
            <w:tcW w:w="1296" w:type="dxa"/>
            <w:vAlign w:val="center"/>
          </w:tcPr>
          <w:p w14:paraId="62F24F9A" w14:textId="77777777" w:rsidR="005256DC" w:rsidRDefault="00000000">
            <w:pPr>
              <w:jc w:val="center"/>
            </w:pPr>
            <w:r>
              <w:rPr>
                <w:sz w:val="15"/>
              </w:rPr>
              <w:t>Азартные игры</w:t>
            </w:r>
          </w:p>
        </w:tc>
        <w:tc>
          <w:tcPr>
            <w:tcW w:w="1440" w:type="dxa"/>
            <w:vAlign w:val="center"/>
          </w:tcPr>
          <w:p w14:paraId="04E4C55A" w14:textId="77777777" w:rsidR="005256DC" w:rsidRDefault="00000000">
            <w:pPr>
              <w:jc w:val="center"/>
            </w:pPr>
            <w:r>
              <w:rPr>
                <w:sz w:val="15"/>
              </w:rPr>
              <w:t>Удобная</w:t>
            </w:r>
            <w:r>
              <w:rPr>
                <w:sz w:val="15"/>
              </w:rPr>
              <w:br/>
              <w:t>общая выборка</w:t>
            </w:r>
          </w:p>
        </w:tc>
        <w:tc>
          <w:tcPr>
            <w:tcW w:w="2160" w:type="dxa"/>
            <w:vAlign w:val="center"/>
          </w:tcPr>
          <w:p w14:paraId="5773D194" w14:textId="77777777" w:rsidR="005256DC" w:rsidRPr="008634E1" w:rsidRDefault="00000000">
            <w:pPr>
              <w:rPr>
                <w:lang w:val="ru-RU"/>
              </w:rPr>
            </w:pPr>
            <w:r>
              <w:rPr>
                <w:sz w:val="15"/>
              </w:rPr>
              <w:t>N</w:t>
            </w:r>
            <w:r w:rsidRPr="008634E1">
              <w:rPr>
                <w:sz w:val="15"/>
                <w:lang w:val="ru-RU"/>
              </w:rPr>
              <w:t xml:space="preserve">=416 (2%); </w:t>
            </w:r>
            <w:r>
              <w:rPr>
                <w:sz w:val="15"/>
              </w:rPr>
              <w:t>M</w:t>
            </w:r>
            <w:r w:rsidRPr="008634E1">
              <w:rPr>
                <w:sz w:val="15"/>
                <w:lang w:val="ru-RU"/>
              </w:rPr>
              <w:t>возр.=31,4 года (</w:t>
            </w:r>
            <w:r>
              <w:rPr>
                <w:sz w:val="15"/>
              </w:rPr>
              <w:t>SD</w:t>
            </w:r>
            <w:r w:rsidRPr="008634E1">
              <w:rPr>
                <w:sz w:val="15"/>
                <w:lang w:val="ru-RU"/>
              </w:rPr>
              <w:t>=8,5; диапазон 18-55)</w:t>
            </w:r>
          </w:p>
        </w:tc>
        <w:tc>
          <w:tcPr>
            <w:tcW w:w="1512" w:type="dxa"/>
            <w:vAlign w:val="center"/>
          </w:tcPr>
          <w:p w14:paraId="113C0A56" w14:textId="77777777" w:rsidR="005256DC" w:rsidRDefault="00000000">
            <w:r>
              <w:rPr>
                <w:sz w:val="15"/>
              </w:rPr>
              <w:t>CPGI, ERQ</w:t>
            </w:r>
          </w:p>
        </w:tc>
        <w:tc>
          <w:tcPr>
            <w:tcW w:w="1800" w:type="dxa"/>
            <w:vAlign w:val="center"/>
          </w:tcPr>
          <w:p w14:paraId="47654A7A" w14:textId="77777777" w:rsidR="005256DC" w:rsidRPr="008634E1" w:rsidRDefault="00000000">
            <w:pPr>
              <w:rPr>
                <w:lang w:val="ru-RU"/>
              </w:rPr>
            </w:pPr>
            <w:r>
              <w:rPr>
                <w:sz w:val="15"/>
              </w:rPr>
              <w:t>ANOVA</w:t>
            </w:r>
            <w:r w:rsidRPr="008634E1">
              <w:rPr>
                <w:sz w:val="15"/>
                <w:lang w:val="ru-RU"/>
              </w:rPr>
              <w:t xml:space="preserve">; </w:t>
            </w:r>
            <w:r>
              <w:rPr>
                <w:sz w:val="15"/>
              </w:rPr>
              <w:t>χ</w:t>
            </w:r>
            <w:r w:rsidRPr="008634E1">
              <w:rPr>
                <w:sz w:val="15"/>
                <w:lang w:val="ru-RU"/>
              </w:rPr>
              <w:t>²; множественная линейная регрессия; корреляция</w:t>
            </w:r>
          </w:p>
        </w:tc>
        <w:tc>
          <w:tcPr>
            <w:tcW w:w="4392" w:type="dxa"/>
            <w:vAlign w:val="center"/>
          </w:tcPr>
          <w:p w14:paraId="13E6FDDE" w14:textId="77777777" w:rsidR="005256DC" w:rsidRPr="008634E1" w:rsidRDefault="00000000">
            <w:pPr>
              <w:rPr>
                <w:lang w:val="ru-RU"/>
              </w:rPr>
            </w:pPr>
            <w:r w:rsidRPr="008634E1">
              <w:rPr>
                <w:sz w:val="15"/>
                <w:lang w:val="ru-RU"/>
              </w:rPr>
              <w:t xml:space="preserve">Тревога и депрессия были связаны с </w:t>
            </w:r>
            <w:r>
              <w:rPr>
                <w:sz w:val="15"/>
              </w:rPr>
              <w:t>PG</w:t>
            </w:r>
            <w:r w:rsidRPr="008634E1">
              <w:rPr>
                <w:sz w:val="15"/>
                <w:lang w:val="ru-RU"/>
              </w:rPr>
              <w:t xml:space="preserve">: в группе </w:t>
            </w:r>
            <w:r>
              <w:rPr>
                <w:sz w:val="15"/>
              </w:rPr>
              <w:t>PG</w:t>
            </w:r>
            <w:r w:rsidRPr="008634E1">
              <w:rPr>
                <w:sz w:val="15"/>
                <w:lang w:val="ru-RU"/>
              </w:rPr>
              <w:t xml:space="preserve"> отмечались более высокие показатели депрессии и тревоги; по </w:t>
            </w:r>
            <w:r>
              <w:rPr>
                <w:sz w:val="15"/>
              </w:rPr>
              <w:t>ERQ</w:t>
            </w:r>
            <w:r w:rsidRPr="008634E1">
              <w:rPr>
                <w:sz w:val="15"/>
                <w:lang w:val="ru-RU"/>
              </w:rPr>
              <w:t xml:space="preserve"> различий в </w:t>
            </w:r>
            <w:r>
              <w:rPr>
                <w:sz w:val="15"/>
              </w:rPr>
              <w:t>ER</w:t>
            </w:r>
            <w:r w:rsidRPr="008634E1">
              <w:rPr>
                <w:sz w:val="15"/>
                <w:lang w:val="ru-RU"/>
              </w:rPr>
              <w:t>-стратегиях между игроками в покер внутри групп не обнаружено.</w:t>
            </w:r>
          </w:p>
        </w:tc>
      </w:tr>
      <w:tr w:rsidR="005256DC" w:rsidRPr="008634E1" w14:paraId="023BF90C" w14:textId="77777777">
        <w:trPr>
          <w:cantSplit/>
          <w:jc w:val="center"/>
        </w:trPr>
        <w:tc>
          <w:tcPr>
            <w:tcW w:w="1440" w:type="dxa"/>
            <w:vAlign w:val="center"/>
          </w:tcPr>
          <w:p w14:paraId="3CC55740" w14:textId="77777777" w:rsidR="005256DC" w:rsidRDefault="00000000">
            <w:r>
              <w:rPr>
                <w:sz w:val="15"/>
              </w:rPr>
              <w:t>3. Barrault et al. (2019)</w:t>
            </w:r>
          </w:p>
        </w:tc>
        <w:tc>
          <w:tcPr>
            <w:tcW w:w="1007" w:type="dxa"/>
            <w:vAlign w:val="center"/>
          </w:tcPr>
          <w:p w14:paraId="79B1075E" w14:textId="77777777" w:rsidR="005256DC" w:rsidRDefault="00000000">
            <w:pPr>
              <w:jc w:val="center"/>
            </w:pPr>
            <w:r>
              <w:rPr>
                <w:sz w:val="15"/>
              </w:rPr>
              <w:t>Франция</w:t>
            </w:r>
          </w:p>
        </w:tc>
        <w:tc>
          <w:tcPr>
            <w:tcW w:w="1296" w:type="dxa"/>
            <w:vAlign w:val="center"/>
          </w:tcPr>
          <w:p w14:paraId="1774882D" w14:textId="77777777" w:rsidR="005256DC" w:rsidRDefault="00000000">
            <w:pPr>
              <w:jc w:val="center"/>
            </w:pPr>
            <w:r>
              <w:rPr>
                <w:sz w:val="15"/>
              </w:rPr>
              <w:t>Азартные игры</w:t>
            </w:r>
          </w:p>
        </w:tc>
        <w:tc>
          <w:tcPr>
            <w:tcW w:w="1440" w:type="dxa"/>
            <w:vAlign w:val="center"/>
          </w:tcPr>
          <w:p w14:paraId="6C98F6E5" w14:textId="77777777" w:rsidR="005256DC" w:rsidRDefault="00000000">
            <w:pPr>
              <w:jc w:val="center"/>
            </w:pPr>
            <w:r>
              <w:rPr>
                <w:sz w:val="15"/>
              </w:rPr>
              <w:t>Удобная</w:t>
            </w:r>
            <w:r>
              <w:rPr>
                <w:sz w:val="15"/>
              </w:rPr>
              <w:br/>
              <w:t>общая выборка</w:t>
            </w:r>
          </w:p>
        </w:tc>
        <w:tc>
          <w:tcPr>
            <w:tcW w:w="2160" w:type="dxa"/>
            <w:vAlign w:val="center"/>
          </w:tcPr>
          <w:p w14:paraId="43449325" w14:textId="77777777" w:rsidR="005256DC" w:rsidRPr="008634E1" w:rsidRDefault="00000000">
            <w:pPr>
              <w:rPr>
                <w:lang w:val="ru-RU"/>
              </w:rPr>
            </w:pPr>
            <w:r>
              <w:rPr>
                <w:sz w:val="15"/>
              </w:rPr>
              <w:t>N</w:t>
            </w:r>
            <w:r w:rsidRPr="008634E1">
              <w:rPr>
                <w:sz w:val="15"/>
                <w:lang w:val="ru-RU"/>
              </w:rPr>
              <w:t xml:space="preserve">=287 мужчин; </w:t>
            </w:r>
            <w:r>
              <w:rPr>
                <w:sz w:val="15"/>
              </w:rPr>
              <w:t>M</w:t>
            </w:r>
            <w:r w:rsidRPr="008634E1">
              <w:rPr>
                <w:sz w:val="15"/>
                <w:lang w:val="ru-RU"/>
              </w:rPr>
              <w:t>возр.=34,1 года (</w:t>
            </w:r>
            <w:r>
              <w:rPr>
                <w:sz w:val="15"/>
              </w:rPr>
              <w:t>SD</w:t>
            </w:r>
            <w:r w:rsidRPr="008634E1">
              <w:rPr>
                <w:sz w:val="15"/>
                <w:lang w:val="ru-RU"/>
              </w:rPr>
              <w:t>=10,2)</w:t>
            </w:r>
          </w:p>
        </w:tc>
        <w:tc>
          <w:tcPr>
            <w:tcW w:w="1512" w:type="dxa"/>
            <w:vAlign w:val="center"/>
          </w:tcPr>
          <w:p w14:paraId="38CDD81F" w14:textId="77777777" w:rsidR="005256DC" w:rsidRDefault="00000000">
            <w:r>
              <w:rPr>
                <w:sz w:val="15"/>
              </w:rPr>
              <w:t>SOGS, ERQ</w:t>
            </w:r>
          </w:p>
        </w:tc>
        <w:tc>
          <w:tcPr>
            <w:tcW w:w="1800" w:type="dxa"/>
            <w:vAlign w:val="center"/>
          </w:tcPr>
          <w:p w14:paraId="4BE8E365" w14:textId="77777777" w:rsidR="005256DC" w:rsidRPr="008634E1" w:rsidRDefault="00000000">
            <w:pPr>
              <w:rPr>
                <w:lang w:val="ru-RU"/>
              </w:rPr>
            </w:pPr>
            <w:r>
              <w:rPr>
                <w:sz w:val="15"/>
              </w:rPr>
              <w:t>χ</w:t>
            </w:r>
            <w:r w:rsidRPr="008634E1">
              <w:rPr>
                <w:sz w:val="15"/>
                <w:lang w:val="ru-RU"/>
              </w:rPr>
              <w:t xml:space="preserve">²; </w:t>
            </w:r>
            <w:r>
              <w:rPr>
                <w:sz w:val="15"/>
              </w:rPr>
              <w:t>t</w:t>
            </w:r>
            <w:r w:rsidRPr="008634E1">
              <w:rPr>
                <w:sz w:val="15"/>
                <w:lang w:val="ru-RU"/>
              </w:rPr>
              <w:t>-критерий Стьюдента; корреляция Спирмена; одномерная логистическая регрессия</w:t>
            </w:r>
          </w:p>
        </w:tc>
        <w:tc>
          <w:tcPr>
            <w:tcW w:w="4392" w:type="dxa"/>
            <w:vAlign w:val="center"/>
          </w:tcPr>
          <w:p w14:paraId="40687421" w14:textId="77777777" w:rsidR="005256DC" w:rsidRPr="008634E1" w:rsidRDefault="00000000">
            <w:pPr>
              <w:rPr>
                <w:lang w:val="ru-RU"/>
              </w:rPr>
            </w:pPr>
            <w:r>
              <w:rPr>
                <w:sz w:val="15"/>
              </w:rPr>
              <w:t>PG</w:t>
            </w:r>
            <w:r w:rsidRPr="008634E1">
              <w:rPr>
                <w:sz w:val="15"/>
                <w:lang w:val="ru-RU"/>
              </w:rPr>
              <w:t xml:space="preserve"> не было связано с </w:t>
            </w:r>
            <w:r>
              <w:rPr>
                <w:sz w:val="15"/>
              </w:rPr>
              <w:t>ER</w:t>
            </w:r>
            <w:r w:rsidRPr="008634E1">
              <w:rPr>
                <w:sz w:val="15"/>
                <w:lang w:val="ru-RU"/>
              </w:rPr>
              <w:t xml:space="preserve">; тип азартной игры выступал значимым модератором связи между подавлением и </w:t>
            </w:r>
            <w:r>
              <w:rPr>
                <w:sz w:val="15"/>
              </w:rPr>
              <w:t>PG</w:t>
            </w:r>
            <w:r w:rsidRPr="008634E1">
              <w:rPr>
                <w:sz w:val="15"/>
                <w:lang w:val="ru-RU"/>
              </w:rPr>
              <w:t>; стратегические игроки чаще использовали подавление, чем игроки смешанного типа.</w:t>
            </w:r>
          </w:p>
        </w:tc>
      </w:tr>
      <w:tr w:rsidR="005256DC" w:rsidRPr="008634E1" w14:paraId="1161FD17" w14:textId="77777777">
        <w:trPr>
          <w:cantSplit/>
          <w:jc w:val="center"/>
        </w:trPr>
        <w:tc>
          <w:tcPr>
            <w:tcW w:w="1440" w:type="dxa"/>
            <w:vAlign w:val="center"/>
          </w:tcPr>
          <w:p w14:paraId="51CDF9C8" w14:textId="77777777" w:rsidR="005256DC" w:rsidRDefault="00000000">
            <w:r>
              <w:rPr>
                <w:sz w:val="15"/>
              </w:rPr>
              <w:t>4. Blasi et al. (2019)</w:t>
            </w:r>
          </w:p>
        </w:tc>
        <w:tc>
          <w:tcPr>
            <w:tcW w:w="1007" w:type="dxa"/>
            <w:vAlign w:val="center"/>
          </w:tcPr>
          <w:p w14:paraId="65F43EE1" w14:textId="77777777" w:rsidR="005256DC" w:rsidRDefault="00000000">
            <w:pPr>
              <w:jc w:val="center"/>
            </w:pPr>
            <w:r>
              <w:rPr>
                <w:sz w:val="15"/>
              </w:rPr>
              <w:t>Италия</w:t>
            </w:r>
          </w:p>
        </w:tc>
        <w:tc>
          <w:tcPr>
            <w:tcW w:w="1296" w:type="dxa"/>
            <w:vAlign w:val="center"/>
          </w:tcPr>
          <w:p w14:paraId="661D2AAF" w14:textId="77777777" w:rsidR="005256DC" w:rsidRDefault="00000000">
            <w:pPr>
              <w:jc w:val="center"/>
            </w:pPr>
            <w:r>
              <w:rPr>
                <w:sz w:val="15"/>
              </w:rPr>
              <w:t>Видеоигры</w:t>
            </w:r>
          </w:p>
        </w:tc>
        <w:tc>
          <w:tcPr>
            <w:tcW w:w="1440" w:type="dxa"/>
            <w:vAlign w:val="center"/>
          </w:tcPr>
          <w:p w14:paraId="07FB5977" w14:textId="77777777" w:rsidR="005256DC" w:rsidRDefault="00000000">
            <w:pPr>
              <w:jc w:val="center"/>
            </w:pPr>
            <w:r>
              <w:rPr>
                <w:sz w:val="15"/>
              </w:rPr>
              <w:t>Удобная</w:t>
            </w:r>
            <w:r>
              <w:rPr>
                <w:sz w:val="15"/>
              </w:rPr>
              <w:br/>
              <w:t>выборка игроков WoW</w:t>
            </w:r>
          </w:p>
        </w:tc>
        <w:tc>
          <w:tcPr>
            <w:tcW w:w="2160" w:type="dxa"/>
            <w:vAlign w:val="center"/>
          </w:tcPr>
          <w:p w14:paraId="50A3CE32" w14:textId="77777777" w:rsidR="005256DC" w:rsidRDefault="00000000">
            <w:r>
              <w:rPr>
                <w:sz w:val="15"/>
              </w:rPr>
              <w:t>N=390 (25,9%); Mвозр.=28,28 (SD=8,24; диапазон 18-67)</w:t>
            </w:r>
          </w:p>
        </w:tc>
        <w:tc>
          <w:tcPr>
            <w:tcW w:w="1512" w:type="dxa"/>
            <w:vAlign w:val="center"/>
          </w:tcPr>
          <w:p w14:paraId="372A3532" w14:textId="77777777" w:rsidR="005256DC" w:rsidRDefault="00000000">
            <w:r>
              <w:rPr>
                <w:sz w:val="15"/>
              </w:rPr>
              <w:t>DERS-18, IAT-WoW</w:t>
            </w:r>
          </w:p>
        </w:tc>
        <w:tc>
          <w:tcPr>
            <w:tcW w:w="1800" w:type="dxa"/>
            <w:vAlign w:val="center"/>
          </w:tcPr>
          <w:p w14:paraId="6947A19E" w14:textId="77777777" w:rsidR="005256DC" w:rsidRDefault="00000000">
            <w:r>
              <w:rPr>
                <w:sz w:val="15"/>
              </w:rPr>
              <w:t>Корреляция Пирсона; SEM-анализ</w:t>
            </w:r>
          </w:p>
        </w:tc>
        <w:tc>
          <w:tcPr>
            <w:tcW w:w="4392" w:type="dxa"/>
            <w:vAlign w:val="center"/>
          </w:tcPr>
          <w:p w14:paraId="7C101E29" w14:textId="77777777" w:rsidR="005256DC" w:rsidRPr="008634E1" w:rsidRDefault="00000000">
            <w:pPr>
              <w:rPr>
                <w:lang w:val="ru-RU"/>
              </w:rPr>
            </w:pPr>
            <w:r w:rsidRPr="008634E1">
              <w:rPr>
                <w:sz w:val="15"/>
                <w:lang w:val="ru-RU"/>
              </w:rPr>
              <w:t xml:space="preserve">Общий балл </w:t>
            </w:r>
            <w:r>
              <w:rPr>
                <w:sz w:val="15"/>
              </w:rPr>
              <w:t>DERS</w:t>
            </w:r>
            <w:r w:rsidRPr="008634E1">
              <w:rPr>
                <w:sz w:val="15"/>
                <w:lang w:val="ru-RU"/>
              </w:rPr>
              <w:t xml:space="preserve"> и его подшкалы были значимо и отрицательно связаны с </w:t>
            </w:r>
            <w:r>
              <w:rPr>
                <w:sz w:val="15"/>
              </w:rPr>
              <w:t>IGD</w:t>
            </w:r>
            <w:r w:rsidRPr="008634E1">
              <w:rPr>
                <w:sz w:val="15"/>
                <w:lang w:val="ru-RU"/>
              </w:rPr>
              <w:t xml:space="preserve">; </w:t>
            </w:r>
            <w:r>
              <w:rPr>
                <w:sz w:val="15"/>
              </w:rPr>
              <w:t>ER</w:t>
            </w:r>
            <w:r w:rsidRPr="008634E1">
              <w:rPr>
                <w:sz w:val="15"/>
                <w:lang w:val="ru-RU"/>
              </w:rPr>
              <w:t xml:space="preserve"> предсказывала и мотив эскапизма, и </w:t>
            </w:r>
            <w:r>
              <w:rPr>
                <w:sz w:val="15"/>
              </w:rPr>
              <w:t>IGD</w:t>
            </w:r>
            <w:r w:rsidRPr="008634E1">
              <w:rPr>
                <w:sz w:val="15"/>
                <w:lang w:val="ru-RU"/>
              </w:rPr>
              <w:t xml:space="preserve">; мотив эскапизма частично опосредовал связь между </w:t>
            </w:r>
            <w:r>
              <w:rPr>
                <w:sz w:val="15"/>
              </w:rPr>
              <w:t>ER</w:t>
            </w:r>
            <w:r w:rsidRPr="008634E1">
              <w:rPr>
                <w:sz w:val="15"/>
                <w:lang w:val="ru-RU"/>
              </w:rPr>
              <w:t xml:space="preserve"> и </w:t>
            </w:r>
            <w:r>
              <w:rPr>
                <w:sz w:val="15"/>
              </w:rPr>
              <w:t>IGD</w:t>
            </w:r>
            <w:r w:rsidRPr="008634E1">
              <w:rPr>
                <w:sz w:val="15"/>
                <w:lang w:val="ru-RU"/>
              </w:rPr>
              <w:t>.</w:t>
            </w:r>
          </w:p>
        </w:tc>
      </w:tr>
      <w:tr w:rsidR="005256DC" w:rsidRPr="008634E1" w14:paraId="0DD93AFC" w14:textId="77777777">
        <w:trPr>
          <w:cantSplit/>
          <w:jc w:val="center"/>
        </w:trPr>
        <w:tc>
          <w:tcPr>
            <w:tcW w:w="1440" w:type="dxa"/>
            <w:vAlign w:val="center"/>
          </w:tcPr>
          <w:p w14:paraId="773707EF" w14:textId="77777777" w:rsidR="005256DC" w:rsidRDefault="00000000">
            <w:r>
              <w:rPr>
                <w:sz w:val="15"/>
              </w:rPr>
              <w:t>5. Ciccarelli et al. (2016)</w:t>
            </w:r>
          </w:p>
        </w:tc>
        <w:tc>
          <w:tcPr>
            <w:tcW w:w="1007" w:type="dxa"/>
            <w:vAlign w:val="center"/>
          </w:tcPr>
          <w:p w14:paraId="15385EF4" w14:textId="77777777" w:rsidR="005256DC" w:rsidRDefault="00000000">
            <w:pPr>
              <w:jc w:val="center"/>
            </w:pPr>
            <w:r>
              <w:rPr>
                <w:sz w:val="15"/>
              </w:rPr>
              <w:t>Италия</w:t>
            </w:r>
          </w:p>
        </w:tc>
        <w:tc>
          <w:tcPr>
            <w:tcW w:w="1296" w:type="dxa"/>
            <w:vAlign w:val="center"/>
          </w:tcPr>
          <w:p w14:paraId="2E9F652C" w14:textId="77777777" w:rsidR="005256DC" w:rsidRDefault="00000000">
            <w:pPr>
              <w:jc w:val="center"/>
            </w:pPr>
            <w:r>
              <w:rPr>
                <w:sz w:val="15"/>
              </w:rPr>
              <w:t>Азартные игры</w:t>
            </w:r>
          </w:p>
        </w:tc>
        <w:tc>
          <w:tcPr>
            <w:tcW w:w="1440" w:type="dxa"/>
            <w:vAlign w:val="center"/>
          </w:tcPr>
          <w:p w14:paraId="33F91B1B" w14:textId="77777777" w:rsidR="005256DC" w:rsidRDefault="00000000">
            <w:pPr>
              <w:jc w:val="center"/>
            </w:pPr>
            <w:r>
              <w:rPr>
                <w:sz w:val="15"/>
              </w:rPr>
              <w:t>Удобная</w:t>
            </w:r>
            <w:r>
              <w:rPr>
                <w:sz w:val="15"/>
              </w:rPr>
              <w:br/>
              <w:t>общая выборка</w:t>
            </w:r>
          </w:p>
        </w:tc>
        <w:tc>
          <w:tcPr>
            <w:tcW w:w="2160" w:type="dxa"/>
            <w:vAlign w:val="center"/>
          </w:tcPr>
          <w:p w14:paraId="7691B7A4" w14:textId="77777777" w:rsidR="005256DC" w:rsidRPr="008634E1" w:rsidRDefault="00000000">
            <w:pPr>
              <w:rPr>
                <w:lang w:val="ru-RU"/>
              </w:rPr>
            </w:pPr>
            <w:r>
              <w:rPr>
                <w:sz w:val="15"/>
              </w:rPr>
              <w:t>N</w:t>
            </w:r>
            <w:r w:rsidRPr="008634E1">
              <w:rPr>
                <w:sz w:val="15"/>
                <w:lang w:val="ru-RU"/>
              </w:rPr>
              <w:t xml:space="preserve">=108 мужчин; </w:t>
            </w:r>
            <w:r>
              <w:rPr>
                <w:sz w:val="15"/>
              </w:rPr>
              <w:t>M</w:t>
            </w:r>
            <w:r w:rsidRPr="008634E1">
              <w:rPr>
                <w:sz w:val="15"/>
                <w:lang w:val="ru-RU"/>
              </w:rPr>
              <w:t>возр.=36,80 (</w:t>
            </w:r>
            <w:r>
              <w:rPr>
                <w:sz w:val="15"/>
              </w:rPr>
              <w:t>SD</w:t>
            </w:r>
            <w:r w:rsidRPr="008634E1">
              <w:rPr>
                <w:sz w:val="15"/>
                <w:lang w:val="ru-RU"/>
              </w:rPr>
              <w:t>=11,52; диапазон 21-63)</w:t>
            </w:r>
          </w:p>
        </w:tc>
        <w:tc>
          <w:tcPr>
            <w:tcW w:w="1512" w:type="dxa"/>
            <w:vAlign w:val="center"/>
          </w:tcPr>
          <w:p w14:paraId="4F3F10CE" w14:textId="77777777" w:rsidR="005256DC" w:rsidRPr="008634E1" w:rsidRDefault="00000000">
            <w:pPr>
              <w:rPr>
                <w:lang w:val="ru-RU"/>
              </w:rPr>
            </w:pPr>
            <w:r w:rsidRPr="008634E1">
              <w:rPr>
                <w:sz w:val="15"/>
                <w:lang w:val="ru-RU"/>
              </w:rPr>
              <w:t xml:space="preserve">Модифицированная задача </w:t>
            </w:r>
            <w:r>
              <w:rPr>
                <w:sz w:val="15"/>
              </w:rPr>
              <w:t>Posner</w:t>
            </w:r>
            <w:r w:rsidRPr="008634E1">
              <w:rPr>
                <w:sz w:val="15"/>
                <w:lang w:val="ru-RU"/>
              </w:rPr>
              <w:t xml:space="preserve">, </w:t>
            </w:r>
            <w:r>
              <w:rPr>
                <w:sz w:val="15"/>
              </w:rPr>
              <w:t>SOGS</w:t>
            </w:r>
            <w:r w:rsidRPr="008634E1">
              <w:rPr>
                <w:sz w:val="15"/>
                <w:lang w:val="ru-RU"/>
              </w:rPr>
              <w:t xml:space="preserve">, </w:t>
            </w:r>
            <w:r>
              <w:rPr>
                <w:sz w:val="15"/>
              </w:rPr>
              <w:t>DERS</w:t>
            </w:r>
          </w:p>
        </w:tc>
        <w:tc>
          <w:tcPr>
            <w:tcW w:w="1800" w:type="dxa"/>
            <w:vAlign w:val="center"/>
          </w:tcPr>
          <w:p w14:paraId="41747CD6" w14:textId="77777777" w:rsidR="005256DC" w:rsidRPr="008634E1" w:rsidRDefault="00000000">
            <w:pPr>
              <w:rPr>
                <w:lang w:val="ru-RU"/>
              </w:rPr>
            </w:pPr>
            <w:r w:rsidRPr="008634E1">
              <w:rPr>
                <w:sz w:val="15"/>
                <w:lang w:val="ru-RU"/>
              </w:rPr>
              <w:t xml:space="preserve">Корреляции нулевого порядка; </w:t>
            </w:r>
            <w:r>
              <w:rPr>
                <w:sz w:val="15"/>
              </w:rPr>
              <w:t>ANOVA</w:t>
            </w:r>
            <w:r w:rsidRPr="008634E1">
              <w:rPr>
                <w:sz w:val="15"/>
                <w:lang w:val="ru-RU"/>
              </w:rPr>
              <w:t xml:space="preserve">; </w:t>
            </w:r>
            <w:r>
              <w:rPr>
                <w:sz w:val="15"/>
              </w:rPr>
              <w:t>t</w:t>
            </w:r>
            <w:r w:rsidRPr="008634E1">
              <w:rPr>
                <w:sz w:val="15"/>
                <w:lang w:val="ru-RU"/>
              </w:rPr>
              <w:t>-критерий для одной выборки</w:t>
            </w:r>
          </w:p>
        </w:tc>
        <w:tc>
          <w:tcPr>
            <w:tcW w:w="4392" w:type="dxa"/>
            <w:vAlign w:val="center"/>
          </w:tcPr>
          <w:p w14:paraId="2CE5FAF4" w14:textId="77777777" w:rsidR="005256DC" w:rsidRPr="008634E1" w:rsidRDefault="00000000">
            <w:pPr>
              <w:rPr>
                <w:lang w:val="ru-RU"/>
              </w:rPr>
            </w:pPr>
            <w:r w:rsidRPr="008634E1">
              <w:rPr>
                <w:sz w:val="15"/>
                <w:lang w:val="ru-RU"/>
              </w:rPr>
              <w:t xml:space="preserve">Все подшкалы </w:t>
            </w:r>
            <w:r>
              <w:rPr>
                <w:sz w:val="15"/>
              </w:rPr>
              <w:t>DERS</w:t>
            </w:r>
            <w:r w:rsidRPr="008634E1">
              <w:rPr>
                <w:sz w:val="15"/>
                <w:lang w:val="ru-RU"/>
              </w:rPr>
              <w:t xml:space="preserve"> коррелировали с тяжестью проблемного гемблинга; по сравнению с </w:t>
            </w:r>
            <w:r>
              <w:rPr>
                <w:sz w:val="15"/>
              </w:rPr>
              <w:t>NPG</w:t>
            </w:r>
            <w:r w:rsidRPr="008634E1">
              <w:rPr>
                <w:sz w:val="15"/>
                <w:lang w:val="ru-RU"/>
              </w:rPr>
              <w:t xml:space="preserve"> группа </w:t>
            </w:r>
            <w:r>
              <w:rPr>
                <w:sz w:val="15"/>
              </w:rPr>
              <w:t>PG</w:t>
            </w:r>
            <w:r w:rsidRPr="008634E1">
              <w:rPr>
                <w:sz w:val="15"/>
                <w:lang w:val="ru-RU"/>
              </w:rPr>
              <w:t xml:space="preserve"> сообщала о более высоком уровне крейвинга, нарушений регуляции эмоций и негативных состояний настроения.</w:t>
            </w:r>
          </w:p>
        </w:tc>
      </w:tr>
      <w:tr w:rsidR="005256DC" w:rsidRPr="008634E1" w14:paraId="71187212" w14:textId="77777777">
        <w:trPr>
          <w:cantSplit/>
          <w:jc w:val="center"/>
        </w:trPr>
        <w:tc>
          <w:tcPr>
            <w:tcW w:w="1440" w:type="dxa"/>
            <w:vAlign w:val="center"/>
          </w:tcPr>
          <w:p w14:paraId="61B88EF1" w14:textId="77777777" w:rsidR="005256DC" w:rsidRDefault="00000000">
            <w:r>
              <w:rPr>
                <w:sz w:val="15"/>
              </w:rPr>
              <w:t>6. Elmas et al. (2017)</w:t>
            </w:r>
          </w:p>
        </w:tc>
        <w:tc>
          <w:tcPr>
            <w:tcW w:w="1007" w:type="dxa"/>
            <w:vAlign w:val="center"/>
          </w:tcPr>
          <w:p w14:paraId="005092A4" w14:textId="77777777" w:rsidR="005256DC" w:rsidRDefault="00000000">
            <w:pPr>
              <w:jc w:val="center"/>
            </w:pPr>
            <w:r>
              <w:rPr>
                <w:sz w:val="15"/>
              </w:rPr>
              <w:t>Турция</w:t>
            </w:r>
          </w:p>
        </w:tc>
        <w:tc>
          <w:tcPr>
            <w:tcW w:w="1296" w:type="dxa"/>
            <w:vAlign w:val="center"/>
          </w:tcPr>
          <w:p w14:paraId="2E163DF3" w14:textId="77777777" w:rsidR="005256DC" w:rsidRDefault="00000000">
            <w:pPr>
              <w:jc w:val="center"/>
            </w:pPr>
            <w:r>
              <w:rPr>
                <w:sz w:val="15"/>
              </w:rPr>
              <w:t>Азартные игры</w:t>
            </w:r>
          </w:p>
        </w:tc>
        <w:tc>
          <w:tcPr>
            <w:tcW w:w="1440" w:type="dxa"/>
            <w:vAlign w:val="center"/>
          </w:tcPr>
          <w:p w14:paraId="265358BD" w14:textId="77777777" w:rsidR="005256DC" w:rsidRDefault="00000000">
            <w:pPr>
              <w:jc w:val="center"/>
            </w:pPr>
            <w:r>
              <w:rPr>
                <w:sz w:val="15"/>
              </w:rPr>
              <w:t>Удобная</w:t>
            </w:r>
            <w:r>
              <w:rPr>
                <w:sz w:val="15"/>
              </w:rPr>
              <w:br/>
              <w:t>общая выборка</w:t>
            </w:r>
          </w:p>
        </w:tc>
        <w:tc>
          <w:tcPr>
            <w:tcW w:w="2160" w:type="dxa"/>
            <w:vAlign w:val="center"/>
          </w:tcPr>
          <w:p w14:paraId="66801B22" w14:textId="77777777" w:rsidR="005256DC" w:rsidRPr="008634E1" w:rsidRDefault="00000000">
            <w:pPr>
              <w:rPr>
                <w:lang w:val="ru-RU"/>
              </w:rPr>
            </w:pPr>
            <w:r>
              <w:rPr>
                <w:sz w:val="15"/>
              </w:rPr>
              <w:t>N</w:t>
            </w:r>
            <w:r w:rsidRPr="008634E1">
              <w:rPr>
                <w:sz w:val="15"/>
                <w:lang w:val="ru-RU"/>
              </w:rPr>
              <w:t xml:space="preserve">=246 мужчин; </w:t>
            </w:r>
            <w:r>
              <w:rPr>
                <w:sz w:val="15"/>
              </w:rPr>
              <w:t>M</w:t>
            </w:r>
            <w:r w:rsidRPr="008634E1">
              <w:rPr>
                <w:sz w:val="15"/>
                <w:lang w:val="ru-RU"/>
              </w:rPr>
              <w:t>возр.=33,3 года (</w:t>
            </w:r>
            <w:r>
              <w:rPr>
                <w:sz w:val="15"/>
              </w:rPr>
              <w:t>SD</w:t>
            </w:r>
            <w:r w:rsidRPr="008634E1">
              <w:rPr>
                <w:sz w:val="15"/>
                <w:lang w:val="ru-RU"/>
              </w:rPr>
              <w:t>=11,64; диапазон 18-64)</w:t>
            </w:r>
          </w:p>
        </w:tc>
        <w:tc>
          <w:tcPr>
            <w:tcW w:w="1512" w:type="dxa"/>
            <w:vAlign w:val="center"/>
          </w:tcPr>
          <w:p w14:paraId="5B9DC456" w14:textId="77777777" w:rsidR="005256DC" w:rsidRDefault="00000000">
            <w:r>
              <w:rPr>
                <w:sz w:val="15"/>
              </w:rPr>
              <w:t>TAS-20, DERS, SOGS</w:t>
            </w:r>
          </w:p>
        </w:tc>
        <w:tc>
          <w:tcPr>
            <w:tcW w:w="1800" w:type="dxa"/>
            <w:vAlign w:val="center"/>
          </w:tcPr>
          <w:p w14:paraId="4E82010A" w14:textId="77777777" w:rsidR="005256DC" w:rsidRPr="008634E1" w:rsidRDefault="00000000">
            <w:pPr>
              <w:rPr>
                <w:lang w:val="ru-RU"/>
              </w:rPr>
            </w:pPr>
            <w:r>
              <w:rPr>
                <w:sz w:val="15"/>
              </w:rPr>
              <w:t>t</w:t>
            </w:r>
            <w:r w:rsidRPr="008634E1">
              <w:rPr>
                <w:sz w:val="15"/>
                <w:lang w:val="ru-RU"/>
              </w:rPr>
              <w:t>-критерий; иерархическая регрессия; множественная регрессия</w:t>
            </w:r>
          </w:p>
        </w:tc>
        <w:tc>
          <w:tcPr>
            <w:tcW w:w="4392" w:type="dxa"/>
            <w:vAlign w:val="center"/>
          </w:tcPr>
          <w:p w14:paraId="6C6EC8C0" w14:textId="77777777" w:rsidR="005256DC" w:rsidRPr="008634E1" w:rsidRDefault="00000000">
            <w:pPr>
              <w:rPr>
                <w:lang w:val="ru-RU"/>
              </w:rPr>
            </w:pPr>
            <w:r w:rsidRPr="008634E1">
              <w:rPr>
                <w:sz w:val="15"/>
                <w:lang w:val="ru-RU"/>
              </w:rPr>
              <w:t xml:space="preserve">Трудности регуляции эмоций и алекситимия были положительными значимыми предикторами </w:t>
            </w:r>
            <w:r>
              <w:rPr>
                <w:sz w:val="15"/>
              </w:rPr>
              <w:t>PG</w:t>
            </w:r>
            <w:r w:rsidRPr="008634E1">
              <w:rPr>
                <w:sz w:val="15"/>
                <w:lang w:val="ru-RU"/>
              </w:rPr>
              <w:t xml:space="preserve">; эмоциональная дисрегуляция опосредовала связь между алекситимией и </w:t>
            </w:r>
            <w:r>
              <w:rPr>
                <w:sz w:val="15"/>
              </w:rPr>
              <w:t>PG</w:t>
            </w:r>
            <w:r w:rsidRPr="008634E1">
              <w:rPr>
                <w:sz w:val="15"/>
                <w:lang w:val="ru-RU"/>
              </w:rPr>
              <w:t>.</w:t>
            </w:r>
          </w:p>
        </w:tc>
      </w:tr>
      <w:tr w:rsidR="005256DC" w:rsidRPr="008634E1" w14:paraId="6C197FE2" w14:textId="77777777">
        <w:trPr>
          <w:cantSplit/>
          <w:jc w:val="center"/>
        </w:trPr>
        <w:tc>
          <w:tcPr>
            <w:tcW w:w="1440" w:type="dxa"/>
            <w:vAlign w:val="center"/>
          </w:tcPr>
          <w:p w14:paraId="51DD1433" w14:textId="77777777" w:rsidR="005256DC" w:rsidRDefault="00000000">
            <w:r>
              <w:rPr>
                <w:sz w:val="15"/>
              </w:rPr>
              <w:t>7. Estévez et al. (2017)</w:t>
            </w:r>
          </w:p>
        </w:tc>
        <w:tc>
          <w:tcPr>
            <w:tcW w:w="1007" w:type="dxa"/>
            <w:vAlign w:val="center"/>
          </w:tcPr>
          <w:p w14:paraId="295CC584" w14:textId="77777777" w:rsidR="005256DC" w:rsidRDefault="00000000">
            <w:pPr>
              <w:jc w:val="center"/>
            </w:pPr>
            <w:r>
              <w:rPr>
                <w:sz w:val="15"/>
              </w:rPr>
              <w:t>Испания</w:t>
            </w:r>
          </w:p>
        </w:tc>
        <w:tc>
          <w:tcPr>
            <w:tcW w:w="1296" w:type="dxa"/>
            <w:vAlign w:val="center"/>
          </w:tcPr>
          <w:p w14:paraId="67121C63" w14:textId="77777777" w:rsidR="005256DC" w:rsidRDefault="00000000">
            <w:pPr>
              <w:jc w:val="center"/>
            </w:pPr>
            <w:r>
              <w:rPr>
                <w:sz w:val="15"/>
              </w:rPr>
              <w:t>Видеоигры и азартные игры</w:t>
            </w:r>
          </w:p>
        </w:tc>
        <w:tc>
          <w:tcPr>
            <w:tcW w:w="1440" w:type="dxa"/>
            <w:vAlign w:val="center"/>
          </w:tcPr>
          <w:p w14:paraId="3CD7EE16" w14:textId="77777777" w:rsidR="005256DC" w:rsidRDefault="00000000">
            <w:pPr>
              <w:jc w:val="center"/>
            </w:pPr>
            <w:r>
              <w:rPr>
                <w:sz w:val="15"/>
              </w:rPr>
              <w:t>Удобная</w:t>
            </w:r>
            <w:r>
              <w:rPr>
                <w:sz w:val="15"/>
              </w:rPr>
              <w:br/>
              <w:t>общая выборка</w:t>
            </w:r>
          </w:p>
        </w:tc>
        <w:tc>
          <w:tcPr>
            <w:tcW w:w="2160" w:type="dxa"/>
            <w:vAlign w:val="center"/>
          </w:tcPr>
          <w:p w14:paraId="42D59FF4" w14:textId="77777777" w:rsidR="005256DC" w:rsidRPr="008634E1" w:rsidRDefault="00000000">
            <w:pPr>
              <w:rPr>
                <w:lang w:val="ru-RU"/>
              </w:rPr>
            </w:pPr>
            <w:r>
              <w:rPr>
                <w:sz w:val="15"/>
              </w:rPr>
              <w:t>N</w:t>
            </w:r>
            <w:r w:rsidRPr="008634E1">
              <w:rPr>
                <w:sz w:val="15"/>
                <w:lang w:val="ru-RU"/>
              </w:rPr>
              <w:t xml:space="preserve">=430 (51,6%); </w:t>
            </w:r>
            <w:r>
              <w:rPr>
                <w:sz w:val="15"/>
              </w:rPr>
              <w:t>M</w:t>
            </w:r>
            <w:r w:rsidRPr="008634E1">
              <w:rPr>
                <w:sz w:val="15"/>
                <w:lang w:val="ru-RU"/>
              </w:rPr>
              <w:t>возр.=15,6 года (</w:t>
            </w:r>
            <w:r>
              <w:rPr>
                <w:sz w:val="15"/>
              </w:rPr>
              <w:t>SD</w:t>
            </w:r>
            <w:r w:rsidRPr="008634E1">
              <w:rPr>
                <w:sz w:val="15"/>
                <w:lang w:val="ru-RU"/>
              </w:rPr>
              <w:t>=1,33; диапазон 13-21)</w:t>
            </w:r>
          </w:p>
        </w:tc>
        <w:tc>
          <w:tcPr>
            <w:tcW w:w="1512" w:type="dxa"/>
            <w:vAlign w:val="center"/>
          </w:tcPr>
          <w:p w14:paraId="186624F1" w14:textId="77777777" w:rsidR="005256DC" w:rsidRPr="008634E1" w:rsidRDefault="00000000">
            <w:pPr>
              <w:rPr>
                <w:lang w:val="ru-RU"/>
              </w:rPr>
            </w:pPr>
            <w:r>
              <w:rPr>
                <w:sz w:val="15"/>
              </w:rPr>
              <w:t>DERS</w:t>
            </w:r>
            <w:r w:rsidRPr="008634E1">
              <w:rPr>
                <w:sz w:val="15"/>
                <w:lang w:val="ru-RU"/>
              </w:rPr>
              <w:t xml:space="preserve">; </w:t>
            </w:r>
            <w:r>
              <w:rPr>
                <w:sz w:val="15"/>
              </w:rPr>
              <w:t>SOGS</w:t>
            </w:r>
            <w:r w:rsidRPr="008634E1">
              <w:rPr>
                <w:sz w:val="15"/>
                <w:lang w:val="ru-RU"/>
              </w:rPr>
              <w:t>-</w:t>
            </w:r>
            <w:r>
              <w:rPr>
                <w:sz w:val="15"/>
              </w:rPr>
              <w:t>RA</w:t>
            </w:r>
            <w:r w:rsidRPr="008634E1">
              <w:rPr>
                <w:sz w:val="15"/>
                <w:lang w:val="ru-RU"/>
              </w:rPr>
              <w:t>; опросник опыта, связанного с видеоиграми</w:t>
            </w:r>
          </w:p>
        </w:tc>
        <w:tc>
          <w:tcPr>
            <w:tcW w:w="1800" w:type="dxa"/>
            <w:vAlign w:val="center"/>
          </w:tcPr>
          <w:p w14:paraId="21A3E81A" w14:textId="77777777" w:rsidR="005256DC" w:rsidRPr="008634E1" w:rsidRDefault="00000000">
            <w:pPr>
              <w:rPr>
                <w:lang w:val="ru-RU"/>
              </w:rPr>
            </w:pPr>
            <w:r w:rsidRPr="008634E1">
              <w:rPr>
                <w:sz w:val="15"/>
                <w:lang w:val="ru-RU"/>
              </w:rPr>
              <w:t xml:space="preserve">Блочная регрессия; </w:t>
            </w:r>
            <w:r>
              <w:rPr>
                <w:sz w:val="15"/>
              </w:rPr>
              <w:t>t</w:t>
            </w:r>
            <w:r w:rsidRPr="008634E1">
              <w:rPr>
                <w:sz w:val="15"/>
                <w:lang w:val="ru-RU"/>
              </w:rPr>
              <w:t>-критерий Стьюдента</w:t>
            </w:r>
          </w:p>
        </w:tc>
        <w:tc>
          <w:tcPr>
            <w:tcW w:w="4392" w:type="dxa"/>
            <w:vAlign w:val="center"/>
          </w:tcPr>
          <w:p w14:paraId="280BE9EA" w14:textId="77777777" w:rsidR="005256DC" w:rsidRPr="008634E1" w:rsidRDefault="00000000">
            <w:pPr>
              <w:rPr>
                <w:lang w:val="ru-RU"/>
              </w:rPr>
            </w:pPr>
            <w:r>
              <w:rPr>
                <w:sz w:val="15"/>
              </w:rPr>
              <w:t>ER</w:t>
            </w:r>
            <w:r w:rsidRPr="008634E1">
              <w:rPr>
                <w:sz w:val="15"/>
                <w:lang w:val="ru-RU"/>
              </w:rPr>
              <w:t xml:space="preserve"> значимо предсказывала все показатели исхода (особенно подшкала недостатка контроля); </w:t>
            </w:r>
            <w:r>
              <w:rPr>
                <w:sz w:val="15"/>
              </w:rPr>
              <w:t>ER</w:t>
            </w:r>
            <w:r w:rsidRPr="008634E1">
              <w:rPr>
                <w:sz w:val="15"/>
                <w:lang w:val="ru-RU"/>
              </w:rPr>
              <w:t xml:space="preserve"> значимо отрицательно коррелировала с </w:t>
            </w:r>
            <w:r>
              <w:rPr>
                <w:sz w:val="15"/>
              </w:rPr>
              <w:t>VG</w:t>
            </w:r>
            <w:r w:rsidRPr="008634E1">
              <w:rPr>
                <w:sz w:val="15"/>
                <w:lang w:val="ru-RU"/>
              </w:rPr>
              <w:t xml:space="preserve"> и </w:t>
            </w:r>
            <w:r>
              <w:rPr>
                <w:sz w:val="15"/>
              </w:rPr>
              <w:t>GD</w:t>
            </w:r>
            <w:r w:rsidRPr="008634E1">
              <w:rPr>
                <w:sz w:val="15"/>
                <w:lang w:val="ru-RU"/>
              </w:rPr>
              <w:t>.</w:t>
            </w:r>
          </w:p>
        </w:tc>
      </w:tr>
      <w:tr w:rsidR="005256DC" w:rsidRPr="008634E1" w14:paraId="7B43F54A" w14:textId="77777777">
        <w:trPr>
          <w:cantSplit/>
          <w:jc w:val="center"/>
        </w:trPr>
        <w:tc>
          <w:tcPr>
            <w:tcW w:w="1440" w:type="dxa"/>
            <w:vAlign w:val="center"/>
          </w:tcPr>
          <w:p w14:paraId="294C050D" w14:textId="77777777" w:rsidR="005256DC" w:rsidRDefault="00000000">
            <w:r>
              <w:rPr>
                <w:sz w:val="15"/>
              </w:rPr>
              <w:t>8. Jauregui et al. (2016)</w:t>
            </w:r>
          </w:p>
        </w:tc>
        <w:tc>
          <w:tcPr>
            <w:tcW w:w="1007" w:type="dxa"/>
            <w:vAlign w:val="center"/>
          </w:tcPr>
          <w:p w14:paraId="646A989D" w14:textId="77777777" w:rsidR="005256DC" w:rsidRDefault="00000000">
            <w:pPr>
              <w:jc w:val="center"/>
            </w:pPr>
            <w:r>
              <w:rPr>
                <w:sz w:val="15"/>
              </w:rPr>
              <w:t>Испания</w:t>
            </w:r>
          </w:p>
        </w:tc>
        <w:tc>
          <w:tcPr>
            <w:tcW w:w="1296" w:type="dxa"/>
            <w:vAlign w:val="center"/>
          </w:tcPr>
          <w:p w14:paraId="686DB785" w14:textId="77777777" w:rsidR="005256DC" w:rsidRDefault="00000000">
            <w:pPr>
              <w:jc w:val="center"/>
            </w:pPr>
            <w:r>
              <w:rPr>
                <w:sz w:val="15"/>
              </w:rPr>
              <w:t>Азартные игры</w:t>
            </w:r>
          </w:p>
        </w:tc>
        <w:tc>
          <w:tcPr>
            <w:tcW w:w="1440" w:type="dxa"/>
            <w:vAlign w:val="center"/>
          </w:tcPr>
          <w:p w14:paraId="54264627" w14:textId="77777777" w:rsidR="005256DC" w:rsidRPr="008634E1" w:rsidRDefault="00000000">
            <w:pPr>
              <w:jc w:val="center"/>
              <w:rPr>
                <w:lang w:val="ru-RU"/>
              </w:rPr>
            </w:pPr>
            <w:r w:rsidRPr="008634E1">
              <w:rPr>
                <w:sz w:val="15"/>
                <w:lang w:val="ru-RU"/>
              </w:rPr>
              <w:t>Удобная</w:t>
            </w:r>
            <w:r w:rsidRPr="008634E1">
              <w:rPr>
                <w:sz w:val="15"/>
                <w:lang w:val="ru-RU"/>
              </w:rPr>
              <w:br/>
              <w:t>клиническая и контрольная выборка</w:t>
            </w:r>
          </w:p>
        </w:tc>
        <w:tc>
          <w:tcPr>
            <w:tcW w:w="2160" w:type="dxa"/>
            <w:vAlign w:val="center"/>
          </w:tcPr>
          <w:p w14:paraId="5B5E2207" w14:textId="77777777" w:rsidR="005256DC" w:rsidRPr="008634E1" w:rsidRDefault="00000000">
            <w:pPr>
              <w:rPr>
                <w:lang w:val="ru-RU"/>
              </w:rPr>
            </w:pPr>
            <w:r>
              <w:rPr>
                <w:sz w:val="15"/>
              </w:rPr>
              <w:t>N</w:t>
            </w:r>
            <w:r w:rsidRPr="008634E1">
              <w:rPr>
                <w:sz w:val="15"/>
                <w:lang w:val="ru-RU"/>
              </w:rPr>
              <w:t xml:space="preserve">=167 мужчин с </w:t>
            </w:r>
            <w:r>
              <w:rPr>
                <w:sz w:val="15"/>
              </w:rPr>
              <w:t>PG</w:t>
            </w:r>
            <w:r w:rsidRPr="008634E1">
              <w:rPr>
                <w:sz w:val="15"/>
                <w:lang w:val="ru-RU"/>
              </w:rPr>
              <w:t xml:space="preserve">; </w:t>
            </w:r>
            <w:r>
              <w:rPr>
                <w:sz w:val="15"/>
              </w:rPr>
              <w:t>M</w:t>
            </w:r>
            <w:r w:rsidRPr="008634E1">
              <w:rPr>
                <w:sz w:val="15"/>
                <w:lang w:val="ru-RU"/>
              </w:rPr>
              <w:t>возр.=39,29 (</w:t>
            </w:r>
            <w:r>
              <w:rPr>
                <w:sz w:val="15"/>
              </w:rPr>
              <w:t>SD</w:t>
            </w:r>
            <w:r w:rsidRPr="008634E1">
              <w:rPr>
                <w:sz w:val="15"/>
                <w:lang w:val="ru-RU"/>
              </w:rPr>
              <w:t xml:space="preserve">=11,84); </w:t>
            </w:r>
            <w:r>
              <w:rPr>
                <w:sz w:val="15"/>
              </w:rPr>
              <w:t>N</w:t>
            </w:r>
            <w:r w:rsidRPr="008634E1">
              <w:rPr>
                <w:sz w:val="15"/>
                <w:lang w:val="ru-RU"/>
              </w:rPr>
              <w:t xml:space="preserve">=107 мужчин без гемблинга; </w:t>
            </w:r>
            <w:r>
              <w:rPr>
                <w:sz w:val="15"/>
              </w:rPr>
              <w:t>M</w:t>
            </w:r>
            <w:r w:rsidRPr="008634E1">
              <w:rPr>
                <w:sz w:val="15"/>
                <w:lang w:val="ru-RU"/>
              </w:rPr>
              <w:t>возр.=33,43 (</w:t>
            </w:r>
            <w:r>
              <w:rPr>
                <w:sz w:val="15"/>
              </w:rPr>
              <w:t>SD</w:t>
            </w:r>
            <w:r w:rsidRPr="008634E1">
              <w:rPr>
                <w:sz w:val="15"/>
                <w:lang w:val="ru-RU"/>
              </w:rPr>
              <w:t>=11,93)</w:t>
            </w:r>
          </w:p>
        </w:tc>
        <w:tc>
          <w:tcPr>
            <w:tcW w:w="1512" w:type="dxa"/>
            <w:vAlign w:val="center"/>
          </w:tcPr>
          <w:p w14:paraId="454C5AE8" w14:textId="77777777" w:rsidR="005256DC" w:rsidRDefault="00000000">
            <w:r>
              <w:rPr>
                <w:sz w:val="15"/>
              </w:rPr>
              <w:t>SOGS, DERS</w:t>
            </w:r>
          </w:p>
        </w:tc>
        <w:tc>
          <w:tcPr>
            <w:tcW w:w="1800" w:type="dxa"/>
            <w:vAlign w:val="center"/>
          </w:tcPr>
          <w:p w14:paraId="1D48537F" w14:textId="77777777" w:rsidR="005256DC" w:rsidRPr="008634E1" w:rsidRDefault="00000000">
            <w:pPr>
              <w:rPr>
                <w:lang w:val="ru-RU"/>
              </w:rPr>
            </w:pPr>
            <w:r w:rsidRPr="008634E1">
              <w:rPr>
                <w:sz w:val="15"/>
                <w:lang w:val="ru-RU"/>
              </w:rPr>
              <w:t xml:space="preserve">Пошаговая множественная линейная регрессия; </w:t>
            </w:r>
            <w:r>
              <w:rPr>
                <w:sz w:val="15"/>
              </w:rPr>
              <w:t>SPSS</w:t>
            </w:r>
            <w:r w:rsidRPr="008634E1">
              <w:rPr>
                <w:sz w:val="15"/>
                <w:lang w:val="ru-RU"/>
              </w:rPr>
              <w:t xml:space="preserve"> </w:t>
            </w:r>
            <w:r>
              <w:rPr>
                <w:sz w:val="15"/>
              </w:rPr>
              <w:t>Macro</w:t>
            </w:r>
            <w:r w:rsidRPr="008634E1">
              <w:rPr>
                <w:sz w:val="15"/>
                <w:lang w:val="ru-RU"/>
              </w:rPr>
              <w:t xml:space="preserve"> </w:t>
            </w:r>
            <w:r>
              <w:rPr>
                <w:sz w:val="15"/>
              </w:rPr>
              <w:t>INDIRECT</w:t>
            </w:r>
          </w:p>
        </w:tc>
        <w:tc>
          <w:tcPr>
            <w:tcW w:w="4392" w:type="dxa"/>
            <w:vAlign w:val="center"/>
          </w:tcPr>
          <w:p w14:paraId="7AB7E11C" w14:textId="77777777" w:rsidR="005256DC" w:rsidRPr="008634E1" w:rsidRDefault="00000000">
            <w:pPr>
              <w:rPr>
                <w:lang w:val="ru-RU"/>
              </w:rPr>
            </w:pPr>
            <w:r w:rsidRPr="008634E1">
              <w:rPr>
                <w:sz w:val="15"/>
                <w:lang w:val="ru-RU"/>
              </w:rPr>
              <w:t xml:space="preserve">У </w:t>
            </w:r>
            <w:r>
              <w:rPr>
                <w:sz w:val="15"/>
              </w:rPr>
              <w:t>PG</w:t>
            </w:r>
            <w:r w:rsidRPr="008634E1">
              <w:rPr>
                <w:sz w:val="15"/>
                <w:lang w:val="ru-RU"/>
              </w:rPr>
              <w:t xml:space="preserve"> наблюдались более выраженные трудности </w:t>
            </w:r>
            <w:r>
              <w:rPr>
                <w:sz w:val="15"/>
              </w:rPr>
              <w:t>ER</w:t>
            </w:r>
            <w:r w:rsidRPr="008634E1">
              <w:rPr>
                <w:sz w:val="15"/>
                <w:lang w:val="ru-RU"/>
              </w:rPr>
              <w:t xml:space="preserve">; трудности </w:t>
            </w:r>
            <w:r>
              <w:rPr>
                <w:sz w:val="15"/>
              </w:rPr>
              <w:t>ER</w:t>
            </w:r>
            <w:r w:rsidRPr="008634E1">
              <w:rPr>
                <w:sz w:val="15"/>
                <w:lang w:val="ru-RU"/>
              </w:rPr>
              <w:t xml:space="preserve"> коррелировали с патологическим гемблингом и предсказывали его; трудности </w:t>
            </w:r>
            <w:r>
              <w:rPr>
                <w:sz w:val="15"/>
              </w:rPr>
              <w:t>ER</w:t>
            </w:r>
            <w:r w:rsidRPr="008634E1">
              <w:rPr>
                <w:sz w:val="15"/>
                <w:lang w:val="ru-RU"/>
              </w:rPr>
              <w:t xml:space="preserve"> опосредовали связь между тревогой и патологическим гемблингом при контроле возраста как с учётом, так и без учёта влияния злоупотребления другими веществами.</w:t>
            </w:r>
          </w:p>
        </w:tc>
      </w:tr>
      <w:tr w:rsidR="005256DC" w:rsidRPr="008634E1" w14:paraId="3C83BD30" w14:textId="77777777">
        <w:trPr>
          <w:cantSplit/>
          <w:jc w:val="center"/>
        </w:trPr>
        <w:tc>
          <w:tcPr>
            <w:tcW w:w="1440" w:type="dxa"/>
            <w:vAlign w:val="center"/>
          </w:tcPr>
          <w:p w14:paraId="79261D54" w14:textId="77777777" w:rsidR="005256DC" w:rsidRDefault="00000000">
            <w:r>
              <w:rPr>
                <w:sz w:val="15"/>
              </w:rPr>
              <w:t>9. Liau et al. (2015a)</w:t>
            </w:r>
          </w:p>
        </w:tc>
        <w:tc>
          <w:tcPr>
            <w:tcW w:w="1007" w:type="dxa"/>
            <w:vAlign w:val="center"/>
          </w:tcPr>
          <w:p w14:paraId="46400CB0" w14:textId="77777777" w:rsidR="005256DC" w:rsidRDefault="00000000">
            <w:pPr>
              <w:jc w:val="center"/>
            </w:pPr>
            <w:r>
              <w:rPr>
                <w:sz w:val="15"/>
              </w:rPr>
              <w:t>Сингапур</w:t>
            </w:r>
          </w:p>
        </w:tc>
        <w:tc>
          <w:tcPr>
            <w:tcW w:w="1296" w:type="dxa"/>
            <w:vAlign w:val="center"/>
          </w:tcPr>
          <w:p w14:paraId="22338871" w14:textId="77777777" w:rsidR="005256DC" w:rsidRDefault="00000000">
            <w:pPr>
              <w:jc w:val="center"/>
            </w:pPr>
            <w:r>
              <w:rPr>
                <w:sz w:val="15"/>
              </w:rPr>
              <w:t>Видеоигры</w:t>
            </w:r>
          </w:p>
        </w:tc>
        <w:tc>
          <w:tcPr>
            <w:tcW w:w="1440" w:type="dxa"/>
            <w:vAlign w:val="center"/>
          </w:tcPr>
          <w:p w14:paraId="2E061BFC" w14:textId="77777777" w:rsidR="005256DC" w:rsidRDefault="00000000">
            <w:pPr>
              <w:jc w:val="center"/>
            </w:pPr>
            <w:r>
              <w:rPr>
                <w:sz w:val="15"/>
              </w:rPr>
              <w:t>Удобная</w:t>
            </w:r>
            <w:r>
              <w:rPr>
                <w:sz w:val="15"/>
              </w:rPr>
              <w:br/>
              <w:t>общая выборка</w:t>
            </w:r>
          </w:p>
        </w:tc>
        <w:tc>
          <w:tcPr>
            <w:tcW w:w="2160" w:type="dxa"/>
            <w:vAlign w:val="center"/>
          </w:tcPr>
          <w:p w14:paraId="3B6C7095" w14:textId="77777777" w:rsidR="005256DC" w:rsidRPr="008634E1" w:rsidRDefault="00000000">
            <w:pPr>
              <w:rPr>
                <w:lang w:val="ru-RU"/>
              </w:rPr>
            </w:pPr>
            <w:r w:rsidRPr="008634E1">
              <w:rPr>
                <w:sz w:val="15"/>
                <w:lang w:val="ru-RU"/>
              </w:rPr>
              <w:t xml:space="preserve">Иссл. 1: </w:t>
            </w:r>
            <w:r>
              <w:rPr>
                <w:sz w:val="15"/>
              </w:rPr>
              <w:t>N</w:t>
            </w:r>
            <w:r w:rsidRPr="008634E1">
              <w:rPr>
                <w:sz w:val="15"/>
                <w:lang w:val="ru-RU"/>
              </w:rPr>
              <w:t xml:space="preserve">=2714 (28%); </w:t>
            </w:r>
            <w:r>
              <w:rPr>
                <w:sz w:val="15"/>
              </w:rPr>
              <w:t>M</w:t>
            </w:r>
            <w:r w:rsidRPr="008634E1">
              <w:rPr>
                <w:sz w:val="15"/>
                <w:lang w:val="ru-RU"/>
              </w:rPr>
              <w:t>возр.=10,93 года (</w:t>
            </w:r>
            <w:r>
              <w:rPr>
                <w:sz w:val="15"/>
              </w:rPr>
              <w:t>SD</w:t>
            </w:r>
            <w:r w:rsidRPr="008634E1">
              <w:rPr>
                <w:sz w:val="15"/>
                <w:lang w:val="ru-RU"/>
              </w:rPr>
              <w:t xml:space="preserve">=2,04). Иссл. 2: </w:t>
            </w:r>
            <w:r>
              <w:rPr>
                <w:sz w:val="15"/>
              </w:rPr>
              <w:t>N</w:t>
            </w:r>
            <w:r w:rsidRPr="008634E1">
              <w:rPr>
                <w:sz w:val="15"/>
                <w:lang w:val="ru-RU"/>
              </w:rPr>
              <w:t xml:space="preserve">=301 (18,2%); </w:t>
            </w:r>
            <w:r>
              <w:rPr>
                <w:sz w:val="15"/>
              </w:rPr>
              <w:t>M</w:t>
            </w:r>
            <w:r w:rsidRPr="008634E1">
              <w:rPr>
                <w:sz w:val="15"/>
                <w:lang w:val="ru-RU"/>
              </w:rPr>
              <w:t>возр.=12,88 года (</w:t>
            </w:r>
            <w:r>
              <w:rPr>
                <w:sz w:val="15"/>
              </w:rPr>
              <w:t>SD</w:t>
            </w:r>
            <w:r w:rsidRPr="008634E1">
              <w:rPr>
                <w:sz w:val="15"/>
                <w:lang w:val="ru-RU"/>
              </w:rPr>
              <w:t>=0,80)</w:t>
            </w:r>
          </w:p>
        </w:tc>
        <w:tc>
          <w:tcPr>
            <w:tcW w:w="1512" w:type="dxa"/>
            <w:vAlign w:val="center"/>
          </w:tcPr>
          <w:p w14:paraId="4A27DC65" w14:textId="77777777" w:rsidR="005256DC" w:rsidRPr="008634E1" w:rsidRDefault="00000000">
            <w:pPr>
              <w:rPr>
                <w:lang w:val="ru-RU"/>
              </w:rPr>
            </w:pPr>
            <w:r w:rsidRPr="008634E1">
              <w:rPr>
                <w:sz w:val="15"/>
                <w:lang w:val="ru-RU"/>
              </w:rPr>
              <w:t xml:space="preserve">Привычки видеоигры, </w:t>
            </w:r>
            <w:r>
              <w:rPr>
                <w:sz w:val="15"/>
              </w:rPr>
              <w:t>PSI</w:t>
            </w:r>
            <w:r w:rsidRPr="008634E1">
              <w:rPr>
                <w:sz w:val="15"/>
                <w:lang w:val="ru-RU"/>
              </w:rPr>
              <w:t xml:space="preserve">-2, пункты </w:t>
            </w:r>
            <w:r>
              <w:rPr>
                <w:sz w:val="15"/>
              </w:rPr>
              <w:t>DSM</w:t>
            </w:r>
            <w:r w:rsidRPr="008634E1">
              <w:rPr>
                <w:sz w:val="15"/>
                <w:lang w:val="ru-RU"/>
              </w:rPr>
              <w:t xml:space="preserve">-4 для гемблинга (адаптированы для </w:t>
            </w:r>
            <w:r>
              <w:rPr>
                <w:sz w:val="15"/>
              </w:rPr>
              <w:t>gaming</w:t>
            </w:r>
            <w:r w:rsidRPr="008634E1">
              <w:rPr>
                <w:sz w:val="15"/>
                <w:lang w:val="ru-RU"/>
              </w:rPr>
              <w:t>)</w:t>
            </w:r>
          </w:p>
        </w:tc>
        <w:tc>
          <w:tcPr>
            <w:tcW w:w="1800" w:type="dxa"/>
            <w:vAlign w:val="center"/>
          </w:tcPr>
          <w:p w14:paraId="763EE77A" w14:textId="77777777" w:rsidR="005256DC" w:rsidRDefault="00000000">
            <w:r>
              <w:rPr>
                <w:sz w:val="15"/>
              </w:rPr>
              <w:t>SPSS Macro INDIRECT</w:t>
            </w:r>
          </w:p>
        </w:tc>
        <w:tc>
          <w:tcPr>
            <w:tcW w:w="4392" w:type="dxa"/>
            <w:vAlign w:val="center"/>
          </w:tcPr>
          <w:p w14:paraId="66433CE3" w14:textId="77777777" w:rsidR="005256DC" w:rsidRPr="008634E1" w:rsidRDefault="00000000">
            <w:pPr>
              <w:rPr>
                <w:lang w:val="ru-RU"/>
              </w:rPr>
            </w:pPr>
            <w:r w:rsidRPr="008634E1">
              <w:rPr>
                <w:sz w:val="15"/>
                <w:lang w:val="ru-RU"/>
              </w:rPr>
              <w:t>Саморегуляция опосредовала связь между импульсивностью и патологическим использованием видеоигр.</w:t>
            </w:r>
          </w:p>
        </w:tc>
      </w:tr>
      <w:tr w:rsidR="005256DC" w:rsidRPr="008634E1" w14:paraId="1DBE14A4" w14:textId="77777777">
        <w:trPr>
          <w:cantSplit/>
          <w:jc w:val="center"/>
        </w:trPr>
        <w:tc>
          <w:tcPr>
            <w:tcW w:w="1440" w:type="dxa"/>
            <w:vAlign w:val="center"/>
          </w:tcPr>
          <w:p w14:paraId="24FDA36B" w14:textId="77777777" w:rsidR="005256DC" w:rsidRDefault="00000000">
            <w:r>
              <w:rPr>
                <w:sz w:val="15"/>
              </w:rPr>
              <w:t>10. Liau et al. (2015b)</w:t>
            </w:r>
          </w:p>
        </w:tc>
        <w:tc>
          <w:tcPr>
            <w:tcW w:w="1007" w:type="dxa"/>
            <w:vAlign w:val="center"/>
          </w:tcPr>
          <w:p w14:paraId="31731690" w14:textId="77777777" w:rsidR="005256DC" w:rsidRDefault="00000000">
            <w:pPr>
              <w:jc w:val="center"/>
            </w:pPr>
            <w:r>
              <w:rPr>
                <w:sz w:val="15"/>
              </w:rPr>
              <w:t>Сингапур</w:t>
            </w:r>
          </w:p>
        </w:tc>
        <w:tc>
          <w:tcPr>
            <w:tcW w:w="1296" w:type="dxa"/>
            <w:vAlign w:val="center"/>
          </w:tcPr>
          <w:p w14:paraId="27357239" w14:textId="77777777" w:rsidR="005256DC" w:rsidRDefault="00000000">
            <w:pPr>
              <w:jc w:val="center"/>
            </w:pPr>
            <w:r>
              <w:rPr>
                <w:sz w:val="15"/>
              </w:rPr>
              <w:t>Видеоигры</w:t>
            </w:r>
          </w:p>
        </w:tc>
        <w:tc>
          <w:tcPr>
            <w:tcW w:w="1440" w:type="dxa"/>
            <w:vAlign w:val="center"/>
          </w:tcPr>
          <w:p w14:paraId="486BBB5D" w14:textId="77777777" w:rsidR="005256DC" w:rsidRPr="008634E1" w:rsidRDefault="00000000">
            <w:pPr>
              <w:jc w:val="center"/>
              <w:rPr>
                <w:lang w:val="ru-RU"/>
              </w:rPr>
            </w:pPr>
            <w:r w:rsidRPr="008634E1">
              <w:rPr>
                <w:sz w:val="15"/>
                <w:lang w:val="ru-RU"/>
              </w:rPr>
              <w:t>Удобная</w:t>
            </w:r>
            <w:r w:rsidRPr="008634E1">
              <w:rPr>
                <w:sz w:val="15"/>
                <w:lang w:val="ru-RU"/>
              </w:rPr>
              <w:br/>
              <w:t>общая выборка (2-летнее лонгитюдное исследование)</w:t>
            </w:r>
          </w:p>
        </w:tc>
        <w:tc>
          <w:tcPr>
            <w:tcW w:w="2160" w:type="dxa"/>
            <w:vAlign w:val="center"/>
          </w:tcPr>
          <w:p w14:paraId="67FFC3A3" w14:textId="77777777" w:rsidR="005256DC" w:rsidRDefault="00000000">
            <w:r>
              <w:rPr>
                <w:sz w:val="15"/>
              </w:rPr>
              <w:t>N=2998 (27,3%); 3-8 классы</w:t>
            </w:r>
          </w:p>
        </w:tc>
        <w:tc>
          <w:tcPr>
            <w:tcW w:w="1512" w:type="dxa"/>
            <w:vAlign w:val="center"/>
          </w:tcPr>
          <w:p w14:paraId="5A0130C9" w14:textId="77777777" w:rsidR="005256DC" w:rsidRPr="008634E1" w:rsidRDefault="00000000">
            <w:pPr>
              <w:rPr>
                <w:lang w:val="ru-RU"/>
              </w:rPr>
            </w:pPr>
            <w:r>
              <w:rPr>
                <w:sz w:val="15"/>
              </w:rPr>
              <w:t>PSI</w:t>
            </w:r>
            <w:r w:rsidRPr="008634E1">
              <w:rPr>
                <w:sz w:val="15"/>
                <w:lang w:val="ru-RU"/>
              </w:rPr>
              <w:t xml:space="preserve">-2, пункты </w:t>
            </w:r>
            <w:r>
              <w:rPr>
                <w:sz w:val="15"/>
              </w:rPr>
              <w:t>DSM</w:t>
            </w:r>
            <w:r w:rsidRPr="008634E1">
              <w:rPr>
                <w:sz w:val="15"/>
                <w:lang w:val="ru-RU"/>
              </w:rPr>
              <w:t>-4 для гемблинга (адаптированы для видеоигр)</w:t>
            </w:r>
          </w:p>
        </w:tc>
        <w:tc>
          <w:tcPr>
            <w:tcW w:w="1800" w:type="dxa"/>
            <w:vAlign w:val="center"/>
          </w:tcPr>
          <w:p w14:paraId="7AB9706C" w14:textId="77777777" w:rsidR="005256DC" w:rsidRPr="008634E1" w:rsidRDefault="00000000">
            <w:pPr>
              <w:rPr>
                <w:lang w:val="ru-RU"/>
              </w:rPr>
            </w:pPr>
            <w:r w:rsidRPr="008634E1">
              <w:rPr>
                <w:sz w:val="15"/>
                <w:lang w:val="ru-RU"/>
              </w:rPr>
              <w:t xml:space="preserve">Линейная и логистическая регрессия; </w:t>
            </w:r>
            <w:r>
              <w:rPr>
                <w:sz w:val="15"/>
              </w:rPr>
              <w:t>SEM</w:t>
            </w:r>
          </w:p>
        </w:tc>
        <w:tc>
          <w:tcPr>
            <w:tcW w:w="4392" w:type="dxa"/>
            <w:vAlign w:val="center"/>
          </w:tcPr>
          <w:p w14:paraId="371AE488" w14:textId="77777777" w:rsidR="005256DC" w:rsidRPr="008634E1" w:rsidRDefault="00000000">
            <w:pPr>
              <w:rPr>
                <w:lang w:val="ru-RU"/>
              </w:rPr>
            </w:pPr>
            <w:r w:rsidRPr="008634E1">
              <w:rPr>
                <w:sz w:val="15"/>
                <w:lang w:val="ru-RU"/>
              </w:rPr>
              <w:t xml:space="preserve">Рост уровней </w:t>
            </w:r>
            <w:r>
              <w:rPr>
                <w:sz w:val="15"/>
              </w:rPr>
              <w:t>ER</w:t>
            </w:r>
            <w:r w:rsidRPr="008634E1">
              <w:rPr>
                <w:sz w:val="15"/>
                <w:lang w:val="ru-RU"/>
              </w:rPr>
              <w:t xml:space="preserve"> и теплоты семейной среды был связан со снижением </w:t>
            </w:r>
            <w:r>
              <w:rPr>
                <w:sz w:val="15"/>
              </w:rPr>
              <w:t>PVGU</w:t>
            </w:r>
            <w:r w:rsidRPr="008634E1">
              <w:rPr>
                <w:sz w:val="15"/>
                <w:lang w:val="ru-RU"/>
              </w:rPr>
              <w:t>.</w:t>
            </w:r>
          </w:p>
        </w:tc>
      </w:tr>
      <w:tr w:rsidR="005256DC" w:rsidRPr="008634E1" w14:paraId="40BFB0AB" w14:textId="77777777">
        <w:trPr>
          <w:cantSplit/>
          <w:jc w:val="center"/>
        </w:trPr>
        <w:tc>
          <w:tcPr>
            <w:tcW w:w="1440" w:type="dxa"/>
            <w:vAlign w:val="center"/>
          </w:tcPr>
          <w:p w14:paraId="202AAC40" w14:textId="77777777" w:rsidR="005256DC" w:rsidRDefault="00000000">
            <w:r>
              <w:rPr>
                <w:sz w:val="15"/>
              </w:rPr>
              <w:t>11. Liu et al. (2017)</w:t>
            </w:r>
          </w:p>
        </w:tc>
        <w:tc>
          <w:tcPr>
            <w:tcW w:w="1007" w:type="dxa"/>
            <w:vAlign w:val="center"/>
          </w:tcPr>
          <w:p w14:paraId="201ED078" w14:textId="77777777" w:rsidR="005256DC" w:rsidRDefault="00000000">
            <w:pPr>
              <w:jc w:val="center"/>
            </w:pPr>
            <w:r>
              <w:rPr>
                <w:sz w:val="15"/>
              </w:rPr>
              <w:t>Китай</w:t>
            </w:r>
          </w:p>
        </w:tc>
        <w:tc>
          <w:tcPr>
            <w:tcW w:w="1296" w:type="dxa"/>
            <w:vAlign w:val="center"/>
          </w:tcPr>
          <w:p w14:paraId="59304E6E" w14:textId="77777777" w:rsidR="005256DC" w:rsidRDefault="00000000">
            <w:pPr>
              <w:jc w:val="center"/>
            </w:pPr>
            <w:r>
              <w:rPr>
                <w:sz w:val="15"/>
              </w:rPr>
              <w:t>Видеоигры</w:t>
            </w:r>
          </w:p>
        </w:tc>
        <w:tc>
          <w:tcPr>
            <w:tcW w:w="1440" w:type="dxa"/>
            <w:vAlign w:val="center"/>
          </w:tcPr>
          <w:p w14:paraId="2D3DACB3" w14:textId="77777777" w:rsidR="005256DC" w:rsidRPr="008634E1" w:rsidRDefault="00000000">
            <w:pPr>
              <w:jc w:val="center"/>
              <w:rPr>
                <w:lang w:val="ru-RU"/>
              </w:rPr>
            </w:pPr>
            <w:r w:rsidRPr="008634E1">
              <w:rPr>
                <w:sz w:val="15"/>
                <w:lang w:val="ru-RU"/>
              </w:rPr>
              <w:t>Удобная</w:t>
            </w:r>
            <w:r w:rsidRPr="008634E1">
              <w:rPr>
                <w:sz w:val="15"/>
                <w:lang w:val="ru-RU"/>
              </w:rPr>
              <w:br/>
              <w:t>общая выборка (18-месячный лонгитюдный дизайн)</w:t>
            </w:r>
          </w:p>
        </w:tc>
        <w:tc>
          <w:tcPr>
            <w:tcW w:w="2160" w:type="dxa"/>
            <w:vAlign w:val="center"/>
          </w:tcPr>
          <w:p w14:paraId="32172798" w14:textId="77777777" w:rsidR="005256DC" w:rsidRDefault="00000000">
            <w:r>
              <w:rPr>
                <w:sz w:val="15"/>
              </w:rPr>
              <w:t>N=420 (47,6%); Mвозр.=9,74 года (SD=0,45)</w:t>
            </w:r>
          </w:p>
        </w:tc>
        <w:tc>
          <w:tcPr>
            <w:tcW w:w="1512" w:type="dxa"/>
            <w:vAlign w:val="center"/>
          </w:tcPr>
          <w:p w14:paraId="3D56C085" w14:textId="77777777" w:rsidR="005256DC" w:rsidRPr="008634E1" w:rsidRDefault="00000000">
            <w:pPr>
              <w:rPr>
                <w:lang w:val="ru-RU"/>
              </w:rPr>
            </w:pPr>
            <w:r>
              <w:rPr>
                <w:sz w:val="15"/>
              </w:rPr>
              <w:t>SCDC</w:t>
            </w:r>
            <w:r w:rsidRPr="008634E1">
              <w:rPr>
                <w:sz w:val="15"/>
                <w:lang w:val="ru-RU"/>
              </w:rPr>
              <w:t xml:space="preserve">, опросник патологического использования видеоигр (адаптированный), </w:t>
            </w:r>
            <w:r>
              <w:rPr>
                <w:sz w:val="15"/>
              </w:rPr>
              <w:t>ERQ</w:t>
            </w:r>
          </w:p>
        </w:tc>
        <w:tc>
          <w:tcPr>
            <w:tcW w:w="1800" w:type="dxa"/>
            <w:vAlign w:val="center"/>
          </w:tcPr>
          <w:p w14:paraId="4424810A" w14:textId="77777777" w:rsidR="005256DC" w:rsidRPr="008634E1" w:rsidRDefault="00000000">
            <w:pPr>
              <w:rPr>
                <w:lang w:val="ru-RU"/>
              </w:rPr>
            </w:pPr>
            <w:r>
              <w:rPr>
                <w:sz w:val="15"/>
              </w:rPr>
              <w:t>χ</w:t>
            </w:r>
            <w:r w:rsidRPr="008634E1">
              <w:rPr>
                <w:sz w:val="15"/>
                <w:lang w:val="ru-RU"/>
              </w:rPr>
              <w:t xml:space="preserve">²; анализ путей; </w:t>
            </w:r>
            <w:r>
              <w:rPr>
                <w:sz w:val="15"/>
              </w:rPr>
              <w:t>CFI</w:t>
            </w:r>
            <w:r w:rsidRPr="008634E1">
              <w:rPr>
                <w:sz w:val="15"/>
                <w:lang w:val="ru-RU"/>
              </w:rPr>
              <w:t xml:space="preserve">, </w:t>
            </w:r>
            <w:r>
              <w:rPr>
                <w:sz w:val="15"/>
              </w:rPr>
              <w:t>TLI</w:t>
            </w:r>
            <w:r w:rsidRPr="008634E1">
              <w:rPr>
                <w:sz w:val="15"/>
                <w:lang w:val="ru-RU"/>
              </w:rPr>
              <w:t xml:space="preserve">, </w:t>
            </w:r>
            <w:r>
              <w:rPr>
                <w:sz w:val="15"/>
              </w:rPr>
              <w:t>RMSEA</w:t>
            </w:r>
          </w:p>
        </w:tc>
        <w:tc>
          <w:tcPr>
            <w:tcW w:w="4392" w:type="dxa"/>
            <w:vAlign w:val="center"/>
          </w:tcPr>
          <w:p w14:paraId="4777247D" w14:textId="77777777" w:rsidR="005256DC" w:rsidRPr="008634E1" w:rsidRDefault="00000000">
            <w:pPr>
              <w:rPr>
                <w:lang w:val="ru-RU"/>
              </w:rPr>
            </w:pPr>
            <w:r w:rsidRPr="008634E1">
              <w:rPr>
                <w:sz w:val="15"/>
                <w:lang w:val="ru-RU"/>
              </w:rPr>
              <w:t xml:space="preserve">При контроле возраста, пола и поиска ощущений социальная коммуникация была связана со снижением </w:t>
            </w:r>
            <w:r>
              <w:rPr>
                <w:sz w:val="15"/>
              </w:rPr>
              <w:t>ER</w:t>
            </w:r>
            <w:r w:rsidRPr="008634E1">
              <w:rPr>
                <w:sz w:val="15"/>
                <w:lang w:val="ru-RU"/>
              </w:rPr>
              <w:t xml:space="preserve">, что, в свою очередь, было связано с меньшей школьной включённостью, а та — с ростом </w:t>
            </w:r>
            <w:r>
              <w:rPr>
                <w:sz w:val="15"/>
              </w:rPr>
              <w:t>IGA</w:t>
            </w:r>
            <w:r w:rsidRPr="008634E1">
              <w:rPr>
                <w:sz w:val="15"/>
                <w:lang w:val="ru-RU"/>
              </w:rPr>
              <w:t>.</w:t>
            </w:r>
          </w:p>
        </w:tc>
      </w:tr>
      <w:tr w:rsidR="005256DC" w:rsidRPr="008634E1" w14:paraId="6F3E5C31" w14:textId="77777777">
        <w:trPr>
          <w:cantSplit/>
          <w:jc w:val="center"/>
        </w:trPr>
        <w:tc>
          <w:tcPr>
            <w:tcW w:w="1440" w:type="dxa"/>
            <w:vAlign w:val="center"/>
          </w:tcPr>
          <w:p w14:paraId="14E9611F" w14:textId="77777777" w:rsidR="005256DC" w:rsidRDefault="00000000">
            <w:r>
              <w:rPr>
                <w:sz w:val="15"/>
              </w:rPr>
              <w:lastRenderedPageBreak/>
              <w:t>12. Navas et al. (2017)</w:t>
            </w:r>
          </w:p>
        </w:tc>
        <w:tc>
          <w:tcPr>
            <w:tcW w:w="1007" w:type="dxa"/>
            <w:vAlign w:val="center"/>
          </w:tcPr>
          <w:p w14:paraId="583FA34C" w14:textId="77777777" w:rsidR="005256DC" w:rsidRDefault="00000000">
            <w:pPr>
              <w:jc w:val="center"/>
            </w:pPr>
            <w:r>
              <w:rPr>
                <w:sz w:val="15"/>
              </w:rPr>
              <w:t>Испания</w:t>
            </w:r>
          </w:p>
        </w:tc>
        <w:tc>
          <w:tcPr>
            <w:tcW w:w="1296" w:type="dxa"/>
            <w:vAlign w:val="center"/>
          </w:tcPr>
          <w:p w14:paraId="1C688DED" w14:textId="77777777" w:rsidR="005256DC" w:rsidRDefault="00000000">
            <w:pPr>
              <w:jc w:val="center"/>
            </w:pPr>
            <w:r>
              <w:rPr>
                <w:sz w:val="15"/>
              </w:rPr>
              <w:t>Азартные игры</w:t>
            </w:r>
          </w:p>
        </w:tc>
        <w:tc>
          <w:tcPr>
            <w:tcW w:w="1440" w:type="dxa"/>
            <w:vAlign w:val="center"/>
          </w:tcPr>
          <w:p w14:paraId="7219857A" w14:textId="77777777" w:rsidR="005256DC" w:rsidRPr="008634E1" w:rsidRDefault="00000000">
            <w:pPr>
              <w:jc w:val="center"/>
              <w:rPr>
                <w:lang w:val="ru-RU"/>
              </w:rPr>
            </w:pPr>
            <w:r w:rsidRPr="008634E1">
              <w:rPr>
                <w:sz w:val="15"/>
                <w:lang w:val="ru-RU"/>
              </w:rPr>
              <w:t>Удобная</w:t>
            </w:r>
            <w:r w:rsidRPr="008634E1">
              <w:rPr>
                <w:sz w:val="15"/>
                <w:lang w:val="ru-RU"/>
              </w:rPr>
              <w:br/>
              <w:t>клиническая и контрольная выборка</w:t>
            </w:r>
          </w:p>
        </w:tc>
        <w:tc>
          <w:tcPr>
            <w:tcW w:w="2160" w:type="dxa"/>
            <w:vAlign w:val="center"/>
          </w:tcPr>
          <w:p w14:paraId="582284FE" w14:textId="77777777" w:rsidR="005256DC" w:rsidRPr="008634E1" w:rsidRDefault="00000000">
            <w:pPr>
              <w:rPr>
                <w:lang w:val="ru-RU"/>
              </w:rPr>
            </w:pPr>
            <w:r>
              <w:rPr>
                <w:sz w:val="15"/>
              </w:rPr>
              <w:t>N</w:t>
            </w:r>
            <w:r w:rsidRPr="008634E1">
              <w:rPr>
                <w:sz w:val="15"/>
                <w:lang w:val="ru-RU"/>
              </w:rPr>
              <w:t xml:space="preserve">=41 мужчина с </w:t>
            </w:r>
            <w:r>
              <w:rPr>
                <w:sz w:val="15"/>
              </w:rPr>
              <w:t>GD</w:t>
            </w:r>
            <w:r w:rsidRPr="008634E1">
              <w:rPr>
                <w:sz w:val="15"/>
                <w:lang w:val="ru-RU"/>
              </w:rPr>
              <w:t xml:space="preserve">; </w:t>
            </w:r>
            <w:r>
              <w:rPr>
                <w:sz w:val="15"/>
              </w:rPr>
              <w:t>M</w:t>
            </w:r>
            <w:r w:rsidRPr="008634E1">
              <w:rPr>
                <w:sz w:val="15"/>
                <w:lang w:val="ru-RU"/>
              </w:rPr>
              <w:t>возр.=35,22 (</w:t>
            </w:r>
            <w:r>
              <w:rPr>
                <w:sz w:val="15"/>
              </w:rPr>
              <w:t>SD</w:t>
            </w:r>
            <w:r w:rsidRPr="008634E1">
              <w:rPr>
                <w:sz w:val="15"/>
                <w:lang w:val="ru-RU"/>
              </w:rPr>
              <w:t xml:space="preserve">=11,16); </w:t>
            </w:r>
            <w:r>
              <w:rPr>
                <w:sz w:val="15"/>
              </w:rPr>
              <w:t>N</w:t>
            </w:r>
            <w:r w:rsidRPr="008634E1">
              <w:rPr>
                <w:sz w:val="15"/>
                <w:lang w:val="ru-RU"/>
              </w:rPr>
              <w:t xml:space="preserve">=45 мужчин </w:t>
            </w:r>
            <w:r>
              <w:rPr>
                <w:sz w:val="15"/>
              </w:rPr>
              <w:t>HC</w:t>
            </w:r>
            <w:r w:rsidRPr="008634E1">
              <w:rPr>
                <w:sz w:val="15"/>
                <w:lang w:val="ru-RU"/>
              </w:rPr>
              <w:t xml:space="preserve">; </w:t>
            </w:r>
            <w:r>
              <w:rPr>
                <w:sz w:val="15"/>
              </w:rPr>
              <w:t>M</w:t>
            </w:r>
            <w:r w:rsidRPr="008634E1">
              <w:rPr>
                <w:sz w:val="15"/>
                <w:lang w:val="ru-RU"/>
              </w:rPr>
              <w:t>возр.=33,22 (</w:t>
            </w:r>
            <w:r>
              <w:rPr>
                <w:sz w:val="15"/>
              </w:rPr>
              <w:t>SD</w:t>
            </w:r>
            <w:r w:rsidRPr="008634E1">
              <w:rPr>
                <w:sz w:val="15"/>
                <w:lang w:val="ru-RU"/>
              </w:rPr>
              <w:t>=7,18)</w:t>
            </w:r>
          </w:p>
        </w:tc>
        <w:tc>
          <w:tcPr>
            <w:tcW w:w="1512" w:type="dxa"/>
            <w:vAlign w:val="center"/>
          </w:tcPr>
          <w:p w14:paraId="3F54DEDD" w14:textId="77777777" w:rsidR="005256DC" w:rsidRDefault="00000000">
            <w:r>
              <w:rPr>
                <w:sz w:val="15"/>
              </w:rPr>
              <w:t>SOGS, UPPS-P, ERQ</w:t>
            </w:r>
          </w:p>
        </w:tc>
        <w:tc>
          <w:tcPr>
            <w:tcW w:w="1800" w:type="dxa"/>
            <w:vAlign w:val="center"/>
          </w:tcPr>
          <w:p w14:paraId="35F68EEA" w14:textId="77777777" w:rsidR="005256DC" w:rsidRPr="008634E1" w:rsidRDefault="00000000">
            <w:pPr>
              <w:rPr>
                <w:lang w:val="ru-RU"/>
              </w:rPr>
            </w:pPr>
            <w:r w:rsidRPr="008634E1">
              <w:rPr>
                <w:sz w:val="15"/>
                <w:lang w:val="ru-RU"/>
              </w:rPr>
              <w:t xml:space="preserve">Байесовские </w:t>
            </w:r>
            <w:r>
              <w:rPr>
                <w:sz w:val="15"/>
              </w:rPr>
              <w:t>t</w:t>
            </w:r>
            <w:r w:rsidRPr="008634E1">
              <w:rPr>
                <w:sz w:val="15"/>
                <w:lang w:val="ru-RU"/>
              </w:rPr>
              <w:t>-тесты; двусторонние корреляции</w:t>
            </w:r>
          </w:p>
        </w:tc>
        <w:tc>
          <w:tcPr>
            <w:tcW w:w="4392" w:type="dxa"/>
            <w:vAlign w:val="center"/>
          </w:tcPr>
          <w:p w14:paraId="4ED57D8D" w14:textId="77777777" w:rsidR="005256DC" w:rsidRPr="008634E1" w:rsidRDefault="00000000">
            <w:pPr>
              <w:rPr>
                <w:lang w:val="ru-RU"/>
              </w:rPr>
            </w:pPr>
            <w:r w:rsidRPr="008634E1">
              <w:rPr>
                <w:lang w:val="ru-RU"/>
              </w:rPr>
              <w:t xml:space="preserve">По сравнению с </w:t>
            </w:r>
            <w:r>
              <w:t>HC</w:t>
            </w:r>
            <w:r w:rsidRPr="008634E1">
              <w:rPr>
                <w:lang w:val="ru-RU"/>
              </w:rPr>
              <w:t xml:space="preserve"> у лиц с </w:t>
            </w:r>
            <w:r>
              <w:t>GD</w:t>
            </w:r>
            <w:r w:rsidRPr="008634E1">
              <w:rPr>
                <w:lang w:val="ru-RU"/>
              </w:rPr>
              <w:t xml:space="preserve"> наблюдались более высокие уровни экспрессивного подавления; негативная неотложность положительно коррелировала с экспрессивным подавлением.</w:t>
            </w:r>
          </w:p>
        </w:tc>
      </w:tr>
      <w:tr w:rsidR="005256DC" w:rsidRPr="008634E1" w14:paraId="09978AF6" w14:textId="77777777">
        <w:trPr>
          <w:cantSplit/>
          <w:jc w:val="center"/>
        </w:trPr>
        <w:tc>
          <w:tcPr>
            <w:tcW w:w="1440" w:type="dxa"/>
            <w:vAlign w:val="center"/>
          </w:tcPr>
          <w:p w14:paraId="4663B910" w14:textId="77777777" w:rsidR="005256DC" w:rsidRDefault="00000000">
            <w:r>
              <w:rPr>
                <w:sz w:val="15"/>
              </w:rPr>
              <w:t>13. Navas et al. (2016)</w:t>
            </w:r>
          </w:p>
        </w:tc>
        <w:tc>
          <w:tcPr>
            <w:tcW w:w="1007" w:type="dxa"/>
            <w:vAlign w:val="center"/>
          </w:tcPr>
          <w:p w14:paraId="7ABF7EFD" w14:textId="77777777" w:rsidR="005256DC" w:rsidRDefault="00000000">
            <w:pPr>
              <w:jc w:val="center"/>
            </w:pPr>
            <w:r>
              <w:rPr>
                <w:sz w:val="15"/>
              </w:rPr>
              <w:t>Испания</w:t>
            </w:r>
          </w:p>
        </w:tc>
        <w:tc>
          <w:tcPr>
            <w:tcW w:w="1296" w:type="dxa"/>
            <w:vAlign w:val="center"/>
          </w:tcPr>
          <w:p w14:paraId="1F77AA7F" w14:textId="77777777" w:rsidR="005256DC" w:rsidRDefault="00000000">
            <w:pPr>
              <w:jc w:val="center"/>
            </w:pPr>
            <w:r>
              <w:rPr>
                <w:sz w:val="15"/>
              </w:rPr>
              <w:t>Азартные игры</w:t>
            </w:r>
          </w:p>
        </w:tc>
        <w:tc>
          <w:tcPr>
            <w:tcW w:w="1440" w:type="dxa"/>
            <w:vAlign w:val="center"/>
          </w:tcPr>
          <w:p w14:paraId="4CD483E8" w14:textId="77777777" w:rsidR="005256DC" w:rsidRPr="008634E1" w:rsidRDefault="00000000">
            <w:pPr>
              <w:jc w:val="center"/>
              <w:rPr>
                <w:lang w:val="ru-RU"/>
              </w:rPr>
            </w:pPr>
            <w:r w:rsidRPr="008634E1">
              <w:rPr>
                <w:sz w:val="15"/>
                <w:lang w:val="ru-RU"/>
              </w:rPr>
              <w:t>Удобная</w:t>
            </w:r>
            <w:r w:rsidRPr="008634E1">
              <w:rPr>
                <w:sz w:val="15"/>
                <w:lang w:val="ru-RU"/>
              </w:rPr>
              <w:br/>
              <w:t>клиническая и сопоставленная контрольная выборка</w:t>
            </w:r>
          </w:p>
        </w:tc>
        <w:tc>
          <w:tcPr>
            <w:tcW w:w="2160" w:type="dxa"/>
            <w:vAlign w:val="center"/>
          </w:tcPr>
          <w:p w14:paraId="0FD536D9" w14:textId="77777777" w:rsidR="005256DC" w:rsidRPr="008634E1" w:rsidRDefault="00000000">
            <w:pPr>
              <w:rPr>
                <w:lang w:val="ru-RU"/>
              </w:rPr>
            </w:pPr>
            <w:r>
              <w:rPr>
                <w:sz w:val="15"/>
              </w:rPr>
              <w:t>N</w:t>
            </w:r>
            <w:r w:rsidRPr="008634E1">
              <w:rPr>
                <w:sz w:val="15"/>
                <w:lang w:val="ru-RU"/>
              </w:rPr>
              <w:t xml:space="preserve">=41 с </w:t>
            </w:r>
            <w:r>
              <w:rPr>
                <w:sz w:val="15"/>
              </w:rPr>
              <w:t>GD</w:t>
            </w:r>
            <w:r w:rsidRPr="008634E1">
              <w:rPr>
                <w:sz w:val="15"/>
                <w:lang w:val="ru-RU"/>
              </w:rPr>
              <w:t xml:space="preserve">, </w:t>
            </w:r>
            <w:r>
              <w:rPr>
                <w:sz w:val="15"/>
              </w:rPr>
              <w:t>M</w:t>
            </w:r>
            <w:r w:rsidRPr="008634E1">
              <w:rPr>
                <w:sz w:val="15"/>
                <w:lang w:val="ru-RU"/>
              </w:rPr>
              <w:t>возр.=35,22 (</w:t>
            </w:r>
            <w:r>
              <w:rPr>
                <w:sz w:val="15"/>
              </w:rPr>
              <w:t>SD</w:t>
            </w:r>
            <w:r w:rsidRPr="008634E1">
              <w:rPr>
                <w:sz w:val="15"/>
                <w:lang w:val="ru-RU"/>
              </w:rPr>
              <w:t xml:space="preserve">=11,16); </w:t>
            </w:r>
            <w:r>
              <w:rPr>
                <w:sz w:val="15"/>
              </w:rPr>
              <w:t>N</w:t>
            </w:r>
            <w:r w:rsidRPr="008634E1">
              <w:rPr>
                <w:sz w:val="15"/>
                <w:lang w:val="ru-RU"/>
              </w:rPr>
              <w:t xml:space="preserve">=45 мужчин </w:t>
            </w:r>
            <w:r>
              <w:rPr>
                <w:sz w:val="15"/>
              </w:rPr>
              <w:t>HC</w:t>
            </w:r>
            <w:r w:rsidRPr="008634E1">
              <w:rPr>
                <w:sz w:val="15"/>
                <w:lang w:val="ru-RU"/>
              </w:rPr>
              <w:t xml:space="preserve">, </w:t>
            </w:r>
            <w:r>
              <w:rPr>
                <w:sz w:val="15"/>
              </w:rPr>
              <w:t>M</w:t>
            </w:r>
            <w:r w:rsidRPr="008634E1">
              <w:rPr>
                <w:sz w:val="15"/>
                <w:lang w:val="ru-RU"/>
              </w:rPr>
              <w:t>возр.=33,22 (</w:t>
            </w:r>
            <w:r>
              <w:rPr>
                <w:sz w:val="15"/>
              </w:rPr>
              <w:t>SD</w:t>
            </w:r>
            <w:r w:rsidRPr="008634E1">
              <w:rPr>
                <w:sz w:val="15"/>
                <w:lang w:val="ru-RU"/>
              </w:rPr>
              <w:t>=8,18)</w:t>
            </w:r>
          </w:p>
        </w:tc>
        <w:tc>
          <w:tcPr>
            <w:tcW w:w="1512" w:type="dxa"/>
            <w:vAlign w:val="center"/>
          </w:tcPr>
          <w:p w14:paraId="01A5D4F7" w14:textId="77777777" w:rsidR="005256DC" w:rsidRDefault="00000000">
            <w:r>
              <w:rPr>
                <w:sz w:val="15"/>
              </w:rPr>
              <w:t>CERQ, GRCS, SOGS</w:t>
            </w:r>
          </w:p>
        </w:tc>
        <w:tc>
          <w:tcPr>
            <w:tcW w:w="1800" w:type="dxa"/>
            <w:vAlign w:val="center"/>
          </w:tcPr>
          <w:p w14:paraId="51E7A8B3" w14:textId="77777777" w:rsidR="005256DC" w:rsidRPr="008634E1" w:rsidRDefault="00000000">
            <w:pPr>
              <w:rPr>
                <w:lang w:val="ru-RU"/>
              </w:rPr>
            </w:pPr>
            <w:r>
              <w:rPr>
                <w:sz w:val="15"/>
              </w:rPr>
              <w:t>ANOVA</w:t>
            </w:r>
            <w:r w:rsidRPr="008634E1">
              <w:rPr>
                <w:sz w:val="15"/>
                <w:lang w:val="ru-RU"/>
              </w:rPr>
              <w:t xml:space="preserve">; </w:t>
            </w:r>
            <w:r>
              <w:rPr>
                <w:sz w:val="15"/>
              </w:rPr>
              <w:t>MANOVA</w:t>
            </w:r>
            <w:r w:rsidRPr="008634E1">
              <w:rPr>
                <w:sz w:val="15"/>
                <w:lang w:val="ru-RU"/>
              </w:rPr>
              <w:t>; пошаговая линейная/логистическая регрессия; анализ путей опосредования</w:t>
            </w:r>
          </w:p>
        </w:tc>
        <w:tc>
          <w:tcPr>
            <w:tcW w:w="4392" w:type="dxa"/>
            <w:vAlign w:val="center"/>
          </w:tcPr>
          <w:p w14:paraId="3F3FB1DF" w14:textId="77777777" w:rsidR="005256DC" w:rsidRPr="008634E1" w:rsidRDefault="00000000">
            <w:pPr>
              <w:rPr>
                <w:lang w:val="ru-RU"/>
              </w:rPr>
            </w:pPr>
            <w:r w:rsidRPr="008634E1">
              <w:rPr>
                <w:lang w:val="ru-RU"/>
              </w:rPr>
              <w:t xml:space="preserve">У лиц с </w:t>
            </w:r>
            <w:r>
              <w:t>GD</w:t>
            </w:r>
            <w:r w:rsidRPr="008634E1">
              <w:rPr>
                <w:lang w:val="ru-RU"/>
              </w:rPr>
              <w:t xml:space="preserve"> чаще наблюдались самообвинение и катастрофизация, но также и позитивное перефокусирование, чем у контролей; предположительно адаптивные стратегии когнитивной регуляции эмоций объясняли значимую часть дисперсии тяжести </w:t>
            </w:r>
            <w:r>
              <w:t>GD</w:t>
            </w:r>
            <w:r w:rsidRPr="008634E1">
              <w:rPr>
                <w:lang w:val="ru-RU"/>
              </w:rPr>
              <w:t xml:space="preserve"> и искажённых когниций, связанных с азартными играми.</w:t>
            </w:r>
          </w:p>
        </w:tc>
      </w:tr>
      <w:tr w:rsidR="005256DC" w:rsidRPr="008634E1" w14:paraId="2A9A8063" w14:textId="77777777">
        <w:trPr>
          <w:cantSplit/>
          <w:jc w:val="center"/>
        </w:trPr>
        <w:tc>
          <w:tcPr>
            <w:tcW w:w="1440" w:type="dxa"/>
            <w:vAlign w:val="center"/>
          </w:tcPr>
          <w:p w14:paraId="15BAB5C5" w14:textId="77777777" w:rsidR="005256DC" w:rsidRDefault="00000000">
            <w:r>
              <w:rPr>
                <w:sz w:val="15"/>
              </w:rPr>
              <w:t>14. Orlowski et al. (2018)</w:t>
            </w:r>
          </w:p>
        </w:tc>
        <w:tc>
          <w:tcPr>
            <w:tcW w:w="1007" w:type="dxa"/>
            <w:vAlign w:val="center"/>
          </w:tcPr>
          <w:p w14:paraId="36DBF519" w14:textId="77777777" w:rsidR="005256DC" w:rsidRDefault="00000000">
            <w:pPr>
              <w:jc w:val="center"/>
            </w:pPr>
            <w:r>
              <w:rPr>
                <w:sz w:val="15"/>
              </w:rPr>
              <w:t>Германия</w:t>
            </w:r>
          </w:p>
        </w:tc>
        <w:tc>
          <w:tcPr>
            <w:tcW w:w="1296" w:type="dxa"/>
            <w:vAlign w:val="center"/>
          </w:tcPr>
          <w:p w14:paraId="2F569234" w14:textId="77777777" w:rsidR="005256DC" w:rsidRDefault="00000000">
            <w:pPr>
              <w:jc w:val="center"/>
            </w:pPr>
            <w:r>
              <w:rPr>
                <w:sz w:val="15"/>
              </w:rPr>
              <w:t>Азартные игры</w:t>
            </w:r>
          </w:p>
        </w:tc>
        <w:tc>
          <w:tcPr>
            <w:tcW w:w="1440" w:type="dxa"/>
            <w:vAlign w:val="center"/>
          </w:tcPr>
          <w:p w14:paraId="2733B1BB" w14:textId="77777777" w:rsidR="005256DC" w:rsidRDefault="00000000">
            <w:pPr>
              <w:jc w:val="center"/>
            </w:pPr>
            <w:r>
              <w:rPr>
                <w:sz w:val="15"/>
              </w:rPr>
              <w:t>Удобная</w:t>
            </w:r>
            <w:r>
              <w:rPr>
                <w:sz w:val="15"/>
              </w:rPr>
              <w:br/>
              <w:t>учащиеся профессиональных школ</w:t>
            </w:r>
          </w:p>
        </w:tc>
        <w:tc>
          <w:tcPr>
            <w:tcW w:w="2160" w:type="dxa"/>
            <w:vAlign w:val="center"/>
          </w:tcPr>
          <w:p w14:paraId="05360870" w14:textId="77777777" w:rsidR="005256DC" w:rsidRPr="008634E1" w:rsidRDefault="00000000">
            <w:pPr>
              <w:rPr>
                <w:lang w:val="ru-RU"/>
              </w:rPr>
            </w:pPr>
            <w:r>
              <w:rPr>
                <w:sz w:val="15"/>
              </w:rPr>
              <w:t>N</w:t>
            </w:r>
            <w:r w:rsidRPr="008634E1">
              <w:rPr>
                <w:sz w:val="15"/>
                <w:lang w:val="ru-RU"/>
              </w:rPr>
              <w:t xml:space="preserve">=4928 (37,2%); </w:t>
            </w:r>
            <w:r>
              <w:rPr>
                <w:sz w:val="15"/>
              </w:rPr>
              <w:t>M</w:t>
            </w:r>
            <w:r w:rsidRPr="008634E1">
              <w:rPr>
                <w:sz w:val="15"/>
                <w:lang w:val="ru-RU"/>
              </w:rPr>
              <w:t>возр.=19,9 года (</w:t>
            </w:r>
            <w:r>
              <w:rPr>
                <w:sz w:val="15"/>
              </w:rPr>
              <w:t>SD</w:t>
            </w:r>
            <w:r w:rsidRPr="008634E1">
              <w:rPr>
                <w:sz w:val="15"/>
                <w:lang w:val="ru-RU"/>
              </w:rPr>
              <w:t>=3,72; диапазон 15-52)</w:t>
            </w:r>
          </w:p>
        </w:tc>
        <w:tc>
          <w:tcPr>
            <w:tcW w:w="1512" w:type="dxa"/>
            <w:vAlign w:val="center"/>
          </w:tcPr>
          <w:p w14:paraId="04EE5854" w14:textId="77777777" w:rsidR="005256DC" w:rsidRPr="008634E1" w:rsidRDefault="00000000">
            <w:pPr>
              <w:rPr>
                <w:lang w:val="ru-RU"/>
              </w:rPr>
            </w:pPr>
            <w:r w:rsidRPr="008634E1">
              <w:rPr>
                <w:sz w:val="15"/>
                <w:lang w:val="ru-RU"/>
              </w:rPr>
              <w:t xml:space="preserve">Опросник Стинчфилда на основе критериев </w:t>
            </w:r>
            <w:r>
              <w:rPr>
                <w:sz w:val="15"/>
              </w:rPr>
              <w:t>DSM</w:t>
            </w:r>
            <w:r w:rsidRPr="008634E1">
              <w:rPr>
                <w:sz w:val="15"/>
                <w:lang w:val="ru-RU"/>
              </w:rPr>
              <w:t xml:space="preserve">-5 для </w:t>
            </w:r>
            <w:r>
              <w:rPr>
                <w:sz w:val="15"/>
              </w:rPr>
              <w:t>GD</w:t>
            </w:r>
            <w:r w:rsidRPr="008634E1">
              <w:rPr>
                <w:sz w:val="15"/>
                <w:lang w:val="ru-RU"/>
              </w:rPr>
              <w:t xml:space="preserve">; </w:t>
            </w:r>
            <w:r>
              <w:rPr>
                <w:sz w:val="15"/>
              </w:rPr>
              <w:t>ASQ</w:t>
            </w:r>
          </w:p>
        </w:tc>
        <w:tc>
          <w:tcPr>
            <w:tcW w:w="1800" w:type="dxa"/>
            <w:vAlign w:val="center"/>
          </w:tcPr>
          <w:p w14:paraId="46BF455D" w14:textId="77777777" w:rsidR="005256DC" w:rsidRPr="008634E1" w:rsidRDefault="00000000">
            <w:pPr>
              <w:rPr>
                <w:lang w:val="ru-RU"/>
              </w:rPr>
            </w:pPr>
            <w:r w:rsidRPr="008634E1">
              <w:rPr>
                <w:sz w:val="15"/>
                <w:lang w:val="ru-RU"/>
              </w:rPr>
              <w:t>Линейная регрессия; мультиномиальная логистическая регрессия</w:t>
            </w:r>
          </w:p>
        </w:tc>
        <w:tc>
          <w:tcPr>
            <w:tcW w:w="4392" w:type="dxa"/>
            <w:vAlign w:val="center"/>
          </w:tcPr>
          <w:p w14:paraId="32D4D920" w14:textId="77777777" w:rsidR="005256DC" w:rsidRPr="008634E1" w:rsidRDefault="00000000">
            <w:pPr>
              <w:rPr>
                <w:lang w:val="ru-RU"/>
              </w:rPr>
            </w:pPr>
            <w:r w:rsidRPr="008634E1">
              <w:rPr>
                <w:lang w:val="ru-RU"/>
              </w:rPr>
              <w:t xml:space="preserve">Обнаружена значимая связь </w:t>
            </w:r>
            <w:r>
              <w:t>ER</w:t>
            </w:r>
            <w:r w:rsidRPr="008634E1">
              <w:rPr>
                <w:lang w:val="ru-RU"/>
              </w:rPr>
              <w:t xml:space="preserve">-стратегий «Адаптация» и «Толерантность к эмоциям» с </w:t>
            </w:r>
            <w:r>
              <w:t>GD</w:t>
            </w:r>
            <w:r w:rsidRPr="008634E1">
              <w:rPr>
                <w:lang w:val="ru-RU"/>
              </w:rPr>
              <w:t xml:space="preserve">, но не «Скрывание»; более низкие показатели «Толерантность к эмоциям» и «Адаптация» повышали вероятность классификации как </w:t>
            </w:r>
            <w:r>
              <w:t>GD</w:t>
            </w:r>
            <w:r w:rsidRPr="008634E1">
              <w:rPr>
                <w:lang w:val="ru-RU"/>
              </w:rPr>
              <w:t>.</w:t>
            </w:r>
          </w:p>
        </w:tc>
      </w:tr>
      <w:tr w:rsidR="005256DC" w:rsidRPr="008634E1" w14:paraId="6073E256" w14:textId="77777777">
        <w:trPr>
          <w:cantSplit/>
          <w:jc w:val="center"/>
        </w:trPr>
        <w:tc>
          <w:tcPr>
            <w:tcW w:w="1440" w:type="dxa"/>
            <w:vAlign w:val="center"/>
          </w:tcPr>
          <w:p w14:paraId="043C0EB1" w14:textId="77777777" w:rsidR="005256DC" w:rsidRDefault="00000000">
            <w:r>
              <w:rPr>
                <w:sz w:val="15"/>
              </w:rPr>
              <w:t>15. Pace et al. (2015)</w:t>
            </w:r>
          </w:p>
        </w:tc>
        <w:tc>
          <w:tcPr>
            <w:tcW w:w="1007" w:type="dxa"/>
            <w:vAlign w:val="center"/>
          </w:tcPr>
          <w:p w14:paraId="0F0C3CAC" w14:textId="77777777" w:rsidR="005256DC" w:rsidRDefault="00000000">
            <w:pPr>
              <w:jc w:val="center"/>
            </w:pPr>
            <w:r>
              <w:rPr>
                <w:sz w:val="15"/>
              </w:rPr>
              <w:t>Италия</w:t>
            </w:r>
          </w:p>
        </w:tc>
        <w:tc>
          <w:tcPr>
            <w:tcW w:w="1296" w:type="dxa"/>
            <w:vAlign w:val="center"/>
          </w:tcPr>
          <w:p w14:paraId="638057F1" w14:textId="77777777" w:rsidR="005256DC" w:rsidRDefault="00000000">
            <w:pPr>
              <w:jc w:val="center"/>
            </w:pPr>
            <w:r>
              <w:rPr>
                <w:sz w:val="15"/>
              </w:rPr>
              <w:t>Азартные игры</w:t>
            </w:r>
          </w:p>
        </w:tc>
        <w:tc>
          <w:tcPr>
            <w:tcW w:w="1440" w:type="dxa"/>
            <w:vAlign w:val="center"/>
          </w:tcPr>
          <w:p w14:paraId="4DBAA100" w14:textId="77777777" w:rsidR="005256DC" w:rsidRDefault="00000000">
            <w:pPr>
              <w:jc w:val="center"/>
            </w:pPr>
            <w:r>
              <w:rPr>
                <w:sz w:val="15"/>
              </w:rPr>
              <w:t>Удобная</w:t>
            </w:r>
            <w:r>
              <w:rPr>
                <w:sz w:val="15"/>
              </w:rPr>
              <w:br/>
              <w:t>общая выборка</w:t>
            </w:r>
          </w:p>
        </w:tc>
        <w:tc>
          <w:tcPr>
            <w:tcW w:w="2160" w:type="dxa"/>
            <w:vAlign w:val="center"/>
          </w:tcPr>
          <w:p w14:paraId="0BBF5EC9" w14:textId="77777777" w:rsidR="005256DC" w:rsidRPr="008634E1" w:rsidRDefault="00000000">
            <w:pPr>
              <w:rPr>
                <w:lang w:val="ru-RU"/>
              </w:rPr>
            </w:pPr>
            <w:r>
              <w:rPr>
                <w:sz w:val="15"/>
              </w:rPr>
              <w:t>N</w:t>
            </w:r>
            <w:r w:rsidRPr="008634E1">
              <w:rPr>
                <w:sz w:val="15"/>
                <w:lang w:val="ru-RU"/>
              </w:rPr>
              <w:t xml:space="preserve">=251 (43,4%); </w:t>
            </w:r>
            <w:r>
              <w:rPr>
                <w:sz w:val="15"/>
              </w:rPr>
              <w:t>M</w:t>
            </w:r>
            <w:r w:rsidRPr="008634E1">
              <w:rPr>
                <w:sz w:val="15"/>
                <w:lang w:val="ru-RU"/>
              </w:rPr>
              <w:t>возр.=33,02 года (</w:t>
            </w:r>
            <w:r>
              <w:rPr>
                <w:sz w:val="15"/>
              </w:rPr>
              <w:t>SD</w:t>
            </w:r>
            <w:r w:rsidRPr="008634E1">
              <w:rPr>
                <w:sz w:val="15"/>
                <w:lang w:val="ru-RU"/>
              </w:rPr>
              <w:t>=13,09; диапазон 21-77)</w:t>
            </w:r>
          </w:p>
        </w:tc>
        <w:tc>
          <w:tcPr>
            <w:tcW w:w="1512" w:type="dxa"/>
            <w:vAlign w:val="center"/>
          </w:tcPr>
          <w:p w14:paraId="47A3FA12" w14:textId="77777777" w:rsidR="005256DC" w:rsidRDefault="00000000">
            <w:r>
              <w:rPr>
                <w:sz w:val="15"/>
              </w:rPr>
              <w:t>SOGS, ATQ-SF, ERQ</w:t>
            </w:r>
          </w:p>
        </w:tc>
        <w:tc>
          <w:tcPr>
            <w:tcW w:w="1800" w:type="dxa"/>
            <w:vAlign w:val="center"/>
          </w:tcPr>
          <w:p w14:paraId="78BD4F17" w14:textId="77777777" w:rsidR="005256DC" w:rsidRDefault="00000000">
            <w:r>
              <w:rPr>
                <w:sz w:val="15"/>
              </w:rPr>
              <w:t>ANOVA; дискриминантный анализ</w:t>
            </w:r>
          </w:p>
        </w:tc>
        <w:tc>
          <w:tcPr>
            <w:tcW w:w="4392" w:type="dxa"/>
            <w:vAlign w:val="center"/>
          </w:tcPr>
          <w:p w14:paraId="11901B4C" w14:textId="77777777" w:rsidR="005256DC" w:rsidRPr="008634E1" w:rsidRDefault="00000000">
            <w:pPr>
              <w:rPr>
                <w:lang w:val="ru-RU"/>
              </w:rPr>
            </w:pPr>
            <w:r w:rsidRPr="008634E1">
              <w:rPr>
                <w:sz w:val="15"/>
                <w:lang w:val="ru-RU"/>
              </w:rPr>
              <w:t xml:space="preserve">По сравнению с игроками низкого риска у </w:t>
            </w:r>
            <w:r>
              <w:rPr>
                <w:sz w:val="15"/>
              </w:rPr>
              <w:t>PG</w:t>
            </w:r>
            <w:r w:rsidRPr="008634E1">
              <w:rPr>
                <w:sz w:val="15"/>
                <w:lang w:val="ru-RU"/>
              </w:rPr>
              <w:t xml:space="preserve"> были более низкие уровни внутреннего локуса контроля и когнитивной переоценки и более высокие уровни локуса контроля «случай».</w:t>
            </w:r>
          </w:p>
        </w:tc>
      </w:tr>
      <w:tr w:rsidR="005256DC" w:rsidRPr="008634E1" w14:paraId="6FD6CDB8" w14:textId="77777777">
        <w:trPr>
          <w:cantSplit/>
          <w:jc w:val="center"/>
        </w:trPr>
        <w:tc>
          <w:tcPr>
            <w:tcW w:w="1440" w:type="dxa"/>
            <w:vAlign w:val="center"/>
          </w:tcPr>
          <w:p w14:paraId="58BEF221" w14:textId="77777777" w:rsidR="005256DC" w:rsidRDefault="00000000">
            <w:r>
              <w:rPr>
                <w:sz w:val="15"/>
              </w:rPr>
              <w:t>16. Poole et al. (2017)</w:t>
            </w:r>
          </w:p>
        </w:tc>
        <w:tc>
          <w:tcPr>
            <w:tcW w:w="1007" w:type="dxa"/>
            <w:vAlign w:val="center"/>
          </w:tcPr>
          <w:p w14:paraId="305BC39E" w14:textId="77777777" w:rsidR="005256DC" w:rsidRDefault="00000000">
            <w:pPr>
              <w:jc w:val="center"/>
            </w:pPr>
            <w:r>
              <w:rPr>
                <w:sz w:val="15"/>
              </w:rPr>
              <w:t>Канада</w:t>
            </w:r>
          </w:p>
        </w:tc>
        <w:tc>
          <w:tcPr>
            <w:tcW w:w="1296" w:type="dxa"/>
            <w:vAlign w:val="center"/>
          </w:tcPr>
          <w:p w14:paraId="4B6C3FE4" w14:textId="77777777" w:rsidR="005256DC" w:rsidRDefault="00000000">
            <w:pPr>
              <w:jc w:val="center"/>
            </w:pPr>
            <w:r>
              <w:rPr>
                <w:sz w:val="15"/>
              </w:rPr>
              <w:t>Азартные игры</w:t>
            </w:r>
          </w:p>
        </w:tc>
        <w:tc>
          <w:tcPr>
            <w:tcW w:w="1440" w:type="dxa"/>
            <w:vAlign w:val="center"/>
          </w:tcPr>
          <w:p w14:paraId="12DBF036" w14:textId="77777777" w:rsidR="005256DC" w:rsidRDefault="00000000">
            <w:pPr>
              <w:jc w:val="center"/>
            </w:pPr>
            <w:r>
              <w:rPr>
                <w:sz w:val="15"/>
              </w:rPr>
              <w:t>Удобная</w:t>
            </w:r>
            <w:r>
              <w:rPr>
                <w:sz w:val="15"/>
              </w:rPr>
              <w:br/>
              <w:t>общая выборка (MTurk)</w:t>
            </w:r>
          </w:p>
        </w:tc>
        <w:tc>
          <w:tcPr>
            <w:tcW w:w="2160" w:type="dxa"/>
            <w:vAlign w:val="center"/>
          </w:tcPr>
          <w:p w14:paraId="1A9B0E0D" w14:textId="77777777" w:rsidR="005256DC" w:rsidRPr="008634E1" w:rsidRDefault="00000000">
            <w:pPr>
              <w:rPr>
                <w:lang w:val="ru-RU"/>
              </w:rPr>
            </w:pPr>
            <w:r>
              <w:rPr>
                <w:sz w:val="15"/>
              </w:rPr>
              <w:t>N</w:t>
            </w:r>
            <w:r w:rsidRPr="008634E1">
              <w:rPr>
                <w:sz w:val="15"/>
                <w:lang w:val="ru-RU"/>
              </w:rPr>
              <w:t xml:space="preserve">=414 (37%); </w:t>
            </w:r>
            <w:r>
              <w:rPr>
                <w:sz w:val="15"/>
              </w:rPr>
              <w:t>M</w:t>
            </w:r>
            <w:r w:rsidRPr="008634E1">
              <w:rPr>
                <w:sz w:val="15"/>
                <w:lang w:val="ru-RU"/>
              </w:rPr>
              <w:t>возр.=35,5 года (</w:t>
            </w:r>
            <w:r>
              <w:rPr>
                <w:sz w:val="15"/>
              </w:rPr>
              <w:t>SD</w:t>
            </w:r>
            <w:r w:rsidRPr="008634E1">
              <w:rPr>
                <w:sz w:val="15"/>
                <w:lang w:val="ru-RU"/>
              </w:rPr>
              <w:t>=11,1; диапазон 18-71)</w:t>
            </w:r>
          </w:p>
        </w:tc>
        <w:tc>
          <w:tcPr>
            <w:tcW w:w="1512" w:type="dxa"/>
            <w:vAlign w:val="center"/>
          </w:tcPr>
          <w:p w14:paraId="4976D8AC" w14:textId="77777777" w:rsidR="005256DC" w:rsidRDefault="00000000">
            <w:r>
              <w:rPr>
                <w:sz w:val="15"/>
              </w:rPr>
              <w:t>DERS; PGSI</w:t>
            </w:r>
          </w:p>
        </w:tc>
        <w:tc>
          <w:tcPr>
            <w:tcW w:w="1800" w:type="dxa"/>
            <w:vAlign w:val="center"/>
          </w:tcPr>
          <w:p w14:paraId="6F63110E" w14:textId="77777777" w:rsidR="005256DC" w:rsidRPr="008634E1" w:rsidRDefault="00000000">
            <w:pPr>
              <w:rPr>
                <w:lang w:val="ru-RU"/>
              </w:rPr>
            </w:pPr>
            <w:r w:rsidRPr="008634E1">
              <w:rPr>
                <w:sz w:val="15"/>
                <w:lang w:val="ru-RU"/>
              </w:rPr>
              <w:t>Бинарная логистическая регрессия; анализ опосредования</w:t>
            </w:r>
          </w:p>
        </w:tc>
        <w:tc>
          <w:tcPr>
            <w:tcW w:w="4392" w:type="dxa"/>
            <w:vAlign w:val="center"/>
          </w:tcPr>
          <w:p w14:paraId="4692265E" w14:textId="77777777" w:rsidR="005256DC" w:rsidRPr="008634E1" w:rsidRDefault="00000000">
            <w:pPr>
              <w:rPr>
                <w:lang w:val="ru-RU"/>
              </w:rPr>
            </w:pPr>
            <w:r w:rsidRPr="008634E1">
              <w:rPr>
                <w:sz w:val="15"/>
                <w:lang w:val="ru-RU"/>
              </w:rPr>
              <w:t xml:space="preserve">25,7% были классифицированы как </w:t>
            </w:r>
            <w:r>
              <w:rPr>
                <w:sz w:val="15"/>
              </w:rPr>
              <w:t>GD</w:t>
            </w:r>
            <w:r w:rsidRPr="008634E1">
              <w:rPr>
                <w:sz w:val="15"/>
                <w:lang w:val="ru-RU"/>
              </w:rPr>
              <w:t xml:space="preserve">; рост </w:t>
            </w:r>
            <w:r>
              <w:rPr>
                <w:sz w:val="15"/>
              </w:rPr>
              <w:t>ACEs</w:t>
            </w:r>
            <w:r w:rsidRPr="008634E1">
              <w:rPr>
                <w:sz w:val="15"/>
                <w:lang w:val="ru-RU"/>
              </w:rPr>
              <w:t xml:space="preserve"> значимо предсказывал </w:t>
            </w:r>
            <w:r>
              <w:rPr>
                <w:sz w:val="15"/>
              </w:rPr>
              <w:t>PG</w:t>
            </w:r>
            <w:r w:rsidRPr="008634E1">
              <w:rPr>
                <w:sz w:val="15"/>
                <w:lang w:val="ru-RU"/>
              </w:rPr>
              <w:t xml:space="preserve">; рост </w:t>
            </w:r>
            <w:r>
              <w:rPr>
                <w:sz w:val="15"/>
              </w:rPr>
              <w:t>ACEs</w:t>
            </w:r>
            <w:r w:rsidRPr="008634E1">
              <w:rPr>
                <w:sz w:val="15"/>
                <w:lang w:val="ru-RU"/>
              </w:rPr>
              <w:t xml:space="preserve"> значимо предсказывал более низкий уровень </w:t>
            </w:r>
            <w:r>
              <w:rPr>
                <w:sz w:val="15"/>
              </w:rPr>
              <w:t>ER</w:t>
            </w:r>
            <w:r w:rsidRPr="008634E1">
              <w:rPr>
                <w:sz w:val="15"/>
                <w:lang w:val="ru-RU"/>
              </w:rPr>
              <w:t xml:space="preserve">; более низкий уровень </w:t>
            </w:r>
            <w:r>
              <w:rPr>
                <w:sz w:val="15"/>
              </w:rPr>
              <w:t>ER</w:t>
            </w:r>
            <w:r w:rsidRPr="008634E1">
              <w:rPr>
                <w:sz w:val="15"/>
                <w:lang w:val="ru-RU"/>
              </w:rPr>
              <w:t xml:space="preserve"> значимо предсказывал </w:t>
            </w:r>
            <w:r>
              <w:rPr>
                <w:sz w:val="15"/>
              </w:rPr>
              <w:t>GD</w:t>
            </w:r>
            <w:r w:rsidRPr="008634E1">
              <w:rPr>
                <w:sz w:val="15"/>
                <w:lang w:val="ru-RU"/>
              </w:rPr>
              <w:t xml:space="preserve"> при контроле </w:t>
            </w:r>
            <w:r>
              <w:rPr>
                <w:sz w:val="15"/>
              </w:rPr>
              <w:t>ACE</w:t>
            </w:r>
            <w:r w:rsidRPr="008634E1">
              <w:rPr>
                <w:sz w:val="15"/>
                <w:lang w:val="ru-RU"/>
              </w:rPr>
              <w:t xml:space="preserve">; выявлен значимый непрямой эффект </w:t>
            </w:r>
            <w:r>
              <w:rPr>
                <w:sz w:val="15"/>
              </w:rPr>
              <w:t>ACEs</w:t>
            </w:r>
            <w:r w:rsidRPr="008634E1">
              <w:rPr>
                <w:sz w:val="15"/>
                <w:lang w:val="ru-RU"/>
              </w:rPr>
              <w:t xml:space="preserve"> на </w:t>
            </w:r>
            <w:r>
              <w:rPr>
                <w:sz w:val="15"/>
              </w:rPr>
              <w:t>GD</w:t>
            </w:r>
            <w:r w:rsidRPr="008634E1">
              <w:rPr>
                <w:sz w:val="15"/>
                <w:lang w:val="ru-RU"/>
              </w:rPr>
              <w:t xml:space="preserve"> через эмоциональную дисрегуляцию.</w:t>
            </w:r>
          </w:p>
        </w:tc>
      </w:tr>
      <w:tr w:rsidR="005256DC" w14:paraId="3854E46B" w14:textId="77777777">
        <w:trPr>
          <w:cantSplit/>
          <w:jc w:val="center"/>
        </w:trPr>
        <w:tc>
          <w:tcPr>
            <w:tcW w:w="1440" w:type="dxa"/>
            <w:vAlign w:val="center"/>
          </w:tcPr>
          <w:p w14:paraId="1E9F096D" w14:textId="77777777" w:rsidR="005256DC" w:rsidRDefault="00000000">
            <w:r>
              <w:rPr>
                <w:sz w:val="15"/>
              </w:rPr>
              <w:lastRenderedPageBreak/>
              <w:t>17. Rogier &amp; Velotti (2018)</w:t>
            </w:r>
          </w:p>
        </w:tc>
        <w:tc>
          <w:tcPr>
            <w:tcW w:w="1007" w:type="dxa"/>
            <w:vAlign w:val="center"/>
          </w:tcPr>
          <w:p w14:paraId="56395E8E" w14:textId="77777777" w:rsidR="005256DC" w:rsidRDefault="00000000">
            <w:pPr>
              <w:jc w:val="center"/>
            </w:pPr>
            <w:r>
              <w:rPr>
                <w:sz w:val="15"/>
              </w:rPr>
              <w:t>Италия</w:t>
            </w:r>
          </w:p>
        </w:tc>
        <w:tc>
          <w:tcPr>
            <w:tcW w:w="1296" w:type="dxa"/>
            <w:vAlign w:val="center"/>
          </w:tcPr>
          <w:p w14:paraId="71ED641F" w14:textId="77777777" w:rsidR="005256DC" w:rsidRDefault="00000000">
            <w:pPr>
              <w:jc w:val="center"/>
            </w:pPr>
            <w:r>
              <w:rPr>
                <w:sz w:val="15"/>
              </w:rPr>
              <w:t>Азартные игры</w:t>
            </w:r>
          </w:p>
        </w:tc>
        <w:tc>
          <w:tcPr>
            <w:tcW w:w="1440" w:type="dxa"/>
            <w:vAlign w:val="center"/>
          </w:tcPr>
          <w:p w14:paraId="3B26E0BD" w14:textId="77777777" w:rsidR="005256DC" w:rsidRPr="008634E1" w:rsidRDefault="00000000">
            <w:pPr>
              <w:jc w:val="center"/>
              <w:rPr>
                <w:lang w:val="ru-RU"/>
              </w:rPr>
            </w:pPr>
            <w:r w:rsidRPr="008634E1">
              <w:rPr>
                <w:sz w:val="15"/>
                <w:lang w:val="ru-RU"/>
              </w:rPr>
              <w:t>Целенаправленная и снежный ком; клиническая и контрольная выборка</w:t>
            </w:r>
          </w:p>
        </w:tc>
        <w:tc>
          <w:tcPr>
            <w:tcW w:w="2160" w:type="dxa"/>
            <w:vAlign w:val="center"/>
          </w:tcPr>
          <w:p w14:paraId="5D8886A7" w14:textId="77777777" w:rsidR="005256DC" w:rsidRPr="008634E1" w:rsidRDefault="00000000">
            <w:pPr>
              <w:rPr>
                <w:lang w:val="ru-RU"/>
              </w:rPr>
            </w:pPr>
            <w:r w:rsidRPr="008634E1">
              <w:rPr>
                <w:sz w:val="15"/>
                <w:lang w:val="ru-RU"/>
              </w:rPr>
              <w:t xml:space="preserve">Всего </w:t>
            </w:r>
            <w:r>
              <w:rPr>
                <w:sz w:val="15"/>
              </w:rPr>
              <w:t>N</w:t>
            </w:r>
            <w:r w:rsidRPr="008634E1">
              <w:rPr>
                <w:sz w:val="15"/>
                <w:lang w:val="ru-RU"/>
              </w:rPr>
              <w:t xml:space="preserve">=178; </w:t>
            </w:r>
            <w:r>
              <w:rPr>
                <w:sz w:val="15"/>
              </w:rPr>
              <w:t>M</w:t>
            </w:r>
            <w:r w:rsidRPr="008634E1">
              <w:rPr>
                <w:sz w:val="15"/>
                <w:lang w:val="ru-RU"/>
              </w:rPr>
              <w:t>возр.=47,24 (</w:t>
            </w:r>
            <w:r>
              <w:rPr>
                <w:sz w:val="15"/>
              </w:rPr>
              <w:t>SD</w:t>
            </w:r>
            <w:r w:rsidRPr="008634E1">
              <w:rPr>
                <w:sz w:val="15"/>
                <w:lang w:val="ru-RU"/>
              </w:rPr>
              <w:t xml:space="preserve">=11,64); контрольная группа: </w:t>
            </w:r>
            <w:r>
              <w:rPr>
                <w:sz w:val="15"/>
              </w:rPr>
              <w:t>N</w:t>
            </w:r>
            <w:r w:rsidRPr="008634E1">
              <w:rPr>
                <w:sz w:val="15"/>
                <w:lang w:val="ru-RU"/>
              </w:rPr>
              <w:t xml:space="preserve">=105 (23,8%); клиническая группа: </w:t>
            </w:r>
            <w:r>
              <w:rPr>
                <w:sz w:val="15"/>
              </w:rPr>
              <w:t>N</w:t>
            </w:r>
            <w:r w:rsidRPr="008634E1">
              <w:rPr>
                <w:sz w:val="15"/>
                <w:lang w:val="ru-RU"/>
              </w:rPr>
              <w:t>=74 (15,1%)</w:t>
            </w:r>
          </w:p>
        </w:tc>
        <w:tc>
          <w:tcPr>
            <w:tcW w:w="1512" w:type="dxa"/>
            <w:vAlign w:val="center"/>
          </w:tcPr>
          <w:p w14:paraId="59A2A642" w14:textId="77777777" w:rsidR="005256DC" w:rsidRDefault="00000000">
            <w:r>
              <w:rPr>
                <w:sz w:val="15"/>
              </w:rPr>
              <w:t>DERS; SOGS</w:t>
            </w:r>
          </w:p>
        </w:tc>
        <w:tc>
          <w:tcPr>
            <w:tcW w:w="1800" w:type="dxa"/>
            <w:vAlign w:val="center"/>
          </w:tcPr>
          <w:p w14:paraId="4FD119E7" w14:textId="77777777" w:rsidR="005256DC" w:rsidRPr="008634E1" w:rsidRDefault="00000000">
            <w:pPr>
              <w:rPr>
                <w:lang w:val="ru-RU"/>
              </w:rPr>
            </w:pPr>
            <w:r>
              <w:rPr>
                <w:sz w:val="15"/>
              </w:rPr>
              <w:t>ANOVA</w:t>
            </w:r>
            <w:r w:rsidRPr="008634E1">
              <w:rPr>
                <w:sz w:val="15"/>
                <w:lang w:val="ru-RU"/>
              </w:rPr>
              <w:t xml:space="preserve">; независимый </w:t>
            </w:r>
            <w:r>
              <w:rPr>
                <w:sz w:val="15"/>
              </w:rPr>
              <w:t>t</w:t>
            </w:r>
            <w:r w:rsidRPr="008634E1">
              <w:rPr>
                <w:sz w:val="15"/>
                <w:lang w:val="ru-RU"/>
              </w:rPr>
              <w:t xml:space="preserve">-тест; </w:t>
            </w:r>
            <w:r>
              <w:rPr>
                <w:sz w:val="15"/>
              </w:rPr>
              <w:t>MANCOVA</w:t>
            </w:r>
            <w:r w:rsidRPr="008634E1">
              <w:rPr>
                <w:sz w:val="15"/>
                <w:lang w:val="ru-RU"/>
              </w:rPr>
              <w:t>; иерархическая множественная регрессия; анализ опосредования</w:t>
            </w:r>
          </w:p>
        </w:tc>
        <w:tc>
          <w:tcPr>
            <w:tcW w:w="4392" w:type="dxa"/>
            <w:vAlign w:val="center"/>
          </w:tcPr>
          <w:p w14:paraId="23DB8A49" w14:textId="77777777" w:rsidR="005256DC" w:rsidRDefault="00000000">
            <w:r w:rsidRPr="008634E1">
              <w:rPr>
                <w:lang w:val="ru-RU"/>
              </w:rPr>
              <w:t xml:space="preserve">У группы </w:t>
            </w:r>
            <w:r>
              <w:t>GD</w:t>
            </w:r>
            <w:r w:rsidRPr="008634E1">
              <w:rPr>
                <w:lang w:val="ru-RU"/>
              </w:rPr>
              <w:t xml:space="preserve"> были более высокие суммарные показатели </w:t>
            </w:r>
            <w:r>
              <w:t>DERS</w:t>
            </w:r>
            <w:r w:rsidRPr="008634E1">
              <w:rPr>
                <w:lang w:val="ru-RU"/>
              </w:rPr>
              <w:t xml:space="preserve"> и более высокие баллы по всем подшкалам </w:t>
            </w:r>
            <w:r>
              <w:t>DERS</w:t>
            </w:r>
            <w:r w:rsidRPr="008634E1">
              <w:rPr>
                <w:lang w:val="ru-RU"/>
              </w:rPr>
              <w:t xml:space="preserve"> по сравнению с контролем; тяжесть </w:t>
            </w:r>
            <w:r>
              <w:t>GD</w:t>
            </w:r>
            <w:r w:rsidRPr="008634E1">
              <w:rPr>
                <w:lang w:val="ru-RU"/>
              </w:rPr>
              <w:t xml:space="preserve"> значимо коррелировала со всеми подшкалами </w:t>
            </w:r>
            <w:r>
              <w:t>DERS</w:t>
            </w:r>
            <w:r w:rsidRPr="008634E1">
              <w:rPr>
                <w:lang w:val="ru-RU"/>
              </w:rPr>
              <w:t xml:space="preserve">, кроме цели; эмоциональная дисрегуляция значимо опосредовала связь между грандиозным нарциссизмом и тяжестью </w:t>
            </w:r>
            <w:r>
              <w:t>GD, при этом прямой эффект становился незначимым.</w:t>
            </w:r>
          </w:p>
        </w:tc>
      </w:tr>
      <w:tr w:rsidR="005256DC" w:rsidRPr="008634E1" w14:paraId="2BDDB335" w14:textId="77777777">
        <w:trPr>
          <w:cantSplit/>
          <w:jc w:val="center"/>
        </w:trPr>
        <w:tc>
          <w:tcPr>
            <w:tcW w:w="1440" w:type="dxa"/>
            <w:vAlign w:val="center"/>
          </w:tcPr>
          <w:p w14:paraId="2BCBA4CE" w14:textId="77777777" w:rsidR="005256DC" w:rsidRDefault="00000000">
            <w:r>
              <w:rPr>
                <w:sz w:val="15"/>
              </w:rPr>
              <w:t>18. Tang et al. (2019)</w:t>
            </w:r>
          </w:p>
        </w:tc>
        <w:tc>
          <w:tcPr>
            <w:tcW w:w="1007" w:type="dxa"/>
            <w:vAlign w:val="center"/>
          </w:tcPr>
          <w:p w14:paraId="3E7E34B3" w14:textId="77777777" w:rsidR="005256DC" w:rsidRDefault="00000000">
            <w:pPr>
              <w:jc w:val="center"/>
            </w:pPr>
            <w:r>
              <w:rPr>
                <w:sz w:val="15"/>
              </w:rPr>
              <w:t>США</w:t>
            </w:r>
          </w:p>
        </w:tc>
        <w:tc>
          <w:tcPr>
            <w:tcW w:w="1296" w:type="dxa"/>
            <w:vAlign w:val="center"/>
          </w:tcPr>
          <w:p w14:paraId="0AB883E8" w14:textId="77777777" w:rsidR="005256DC" w:rsidRDefault="00000000">
            <w:pPr>
              <w:jc w:val="center"/>
            </w:pPr>
            <w:r>
              <w:rPr>
                <w:sz w:val="15"/>
              </w:rPr>
              <w:t>Азартные игры</w:t>
            </w:r>
          </w:p>
        </w:tc>
        <w:tc>
          <w:tcPr>
            <w:tcW w:w="1440" w:type="dxa"/>
            <w:vAlign w:val="center"/>
          </w:tcPr>
          <w:p w14:paraId="63A91CB1" w14:textId="77777777" w:rsidR="005256DC" w:rsidRPr="008634E1" w:rsidRDefault="00000000">
            <w:pPr>
              <w:jc w:val="center"/>
              <w:rPr>
                <w:lang w:val="ru-RU"/>
              </w:rPr>
            </w:pPr>
            <w:r w:rsidRPr="008634E1">
              <w:rPr>
                <w:sz w:val="15"/>
                <w:lang w:val="ru-RU"/>
              </w:rPr>
              <w:t>Удобная</w:t>
            </w:r>
            <w:r w:rsidRPr="008634E1">
              <w:rPr>
                <w:sz w:val="15"/>
                <w:lang w:val="ru-RU"/>
              </w:rPr>
              <w:br/>
              <w:t>общая выборка (</w:t>
            </w:r>
            <w:r>
              <w:rPr>
                <w:sz w:val="15"/>
              </w:rPr>
              <w:t>MTurk</w:t>
            </w:r>
            <w:r w:rsidRPr="008634E1">
              <w:rPr>
                <w:sz w:val="15"/>
                <w:lang w:val="ru-RU"/>
              </w:rPr>
              <w:t>), работающие полный день</w:t>
            </w:r>
          </w:p>
        </w:tc>
        <w:tc>
          <w:tcPr>
            <w:tcW w:w="2160" w:type="dxa"/>
            <w:vAlign w:val="center"/>
          </w:tcPr>
          <w:p w14:paraId="69BEA217" w14:textId="77777777" w:rsidR="005256DC" w:rsidRPr="008634E1" w:rsidRDefault="00000000">
            <w:pPr>
              <w:rPr>
                <w:lang w:val="ru-RU"/>
              </w:rPr>
            </w:pPr>
            <w:r>
              <w:rPr>
                <w:sz w:val="15"/>
              </w:rPr>
              <w:t>N</w:t>
            </w:r>
            <w:r w:rsidRPr="008634E1">
              <w:rPr>
                <w:sz w:val="15"/>
                <w:lang w:val="ru-RU"/>
              </w:rPr>
              <w:t xml:space="preserve">=1233 (55%); </w:t>
            </w:r>
            <w:r>
              <w:rPr>
                <w:sz w:val="15"/>
              </w:rPr>
              <w:t>M</w:t>
            </w:r>
            <w:r w:rsidRPr="008634E1">
              <w:rPr>
                <w:sz w:val="15"/>
                <w:lang w:val="ru-RU"/>
              </w:rPr>
              <w:t>возр.=37,28 года (</w:t>
            </w:r>
            <w:r>
              <w:rPr>
                <w:sz w:val="15"/>
              </w:rPr>
              <w:t>SD</w:t>
            </w:r>
            <w:r w:rsidRPr="008634E1">
              <w:rPr>
                <w:sz w:val="15"/>
                <w:lang w:val="ru-RU"/>
              </w:rPr>
              <w:t>=9,16; 25+ лет)</w:t>
            </w:r>
          </w:p>
        </w:tc>
        <w:tc>
          <w:tcPr>
            <w:tcW w:w="1512" w:type="dxa"/>
            <w:vAlign w:val="center"/>
          </w:tcPr>
          <w:p w14:paraId="515D4CDB" w14:textId="77777777" w:rsidR="005256DC" w:rsidRDefault="00000000">
            <w:r>
              <w:rPr>
                <w:sz w:val="15"/>
              </w:rPr>
              <w:t>PGSI, DERS-18</w:t>
            </w:r>
          </w:p>
        </w:tc>
        <w:tc>
          <w:tcPr>
            <w:tcW w:w="1800" w:type="dxa"/>
            <w:vAlign w:val="center"/>
          </w:tcPr>
          <w:p w14:paraId="035A5B1C" w14:textId="77777777" w:rsidR="005256DC" w:rsidRPr="008634E1" w:rsidRDefault="00000000">
            <w:pPr>
              <w:rPr>
                <w:lang w:val="ru-RU"/>
              </w:rPr>
            </w:pPr>
            <w:r w:rsidRPr="008634E1">
              <w:rPr>
                <w:sz w:val="15"/>
                <w:lang w:val="ru-RU"/>
              </w:rPr>
              <w:t xml:space="preserve">Множественная регрессия; </w:t>
            </w:r>
            <w:r>
              <w:rPr>
                <w:sz w:val="15"/>
              </w:rPr>
              <w:t>SPSS</w:t>
            </w:r>
            <w:r w:rsidRPr="008634E1">
              <w:rPr>
                <w:sz w:val="15"/>
                <w:lang w:val="ru-RU"/>
              </w:rPr>
              <w:t xml:space="preserve"> </w:t>
            </w:r>
            <w:r>
              <w:rPr>
                <w:sz w:val="15"/>
              </w:rPr>
              <w:t>PROCESS</w:t>
            </w:r>
            <w:r w:rsidRPr="008634E1">
              <w:rPr>
                <w:sz w:val="15"/>
                <w:lang w:val="ru-RU"/>
              </w:rPr>
              <w:t xml:space="preserve"> </w:t>
            </w:r>
            <w:r>
              <w:rPr>
                <w:sz w:val="15"/>
              </w:rPr>
              <w:t>v</w:t>
            </w:r>
            <w:r w:rsidRPr="008634E1">
              <w:rPr>
                <w:sz w:val="15"/>
                <w:lang w:val="ru-RU"/>
              </w:rPr>
              <w:t>3</w:t>
            </w:r>
          </w:p>
        </w:tc>
        <w:tc>
          <w:tcPr>
            <w:tcW w:w="4392" w:type="dxa"/>
            <w:vAlign w:val="center"/>
          </w:tcPr>
          <w:p w14:paraId="3C65E3B7" w14:textId="77777777" w:rsidR="005256DC" w:rsidRPr="008634E1" w:rsidRDefault="00000000">
            <w:pPr>
              <w:rPr>
                <w:lang w:val="ru-RU"/>
              </w:rPr>
            </w:pPr>
            <w:r>
              <w:rPr>
                <w:sz w:val="15"/>
              </w:rPr>
              <w:t>PG</w:t>
            </w:r>
            <w:r w:rsidRPr="008634E1">
              <w:rPr>
                <w:sz w:val="15"/>
                <w:lang w:val="ru-RU"/>
              </w:rPr>
              <w:t xml:space="preserve"> было связано с более низким уровнем </w:t>
            </w:r>
            <w:r>
              <w:rPr>
                <w:sz w:val="15"/>
              </w:rPr>
              <w:t>ER</w:t>
            </w:r>
            <w:r w:rsidRPr="008634E1">
              <w:rPr>
                <w:sz w:val="15"/>
                <w:lang w:val="ru-RU"/>
              </w:rPr>
              <w:t xml:space="preserve">; </w:t>
            </w:r>
            <w:r>
              <w:rPr>
                <w:sz w:val="15"/>
              </w:rPr>
              <w:t>ER</w:t>
            </w:r>
            <w:r w:rsidRPr="008634E1">
              <w:rPr>
                <w:sz w:val="15"/>
                <w:lang w:val="ru-RU"/>
              </w:rPr>
              <w:t xml:space="preserve"> была лучшим предиктором </w:t>
            </w:r>
            <w:r>
              <w:rPr>
                <w:sz w:val="15"/>
              </w:rPr>
              <w:t>PG</w:t>
            </w:r>
            <w:r w:rsidRPr="008634E1">
              <w:rPr>
                <w:sz w:val="15"/>
                <w:lang w:val="ru-RU"/>
              </w:rPr>
              <w:t xml:space="preserve">, за ней следовал пол; </w:t>
            </w:r>
            <w:r>
              <w:rPr>
                <w:sz w:val="15"/>
              </w:rPr>
              <w:t>ER</w:t>
            </w:r>
            <w:r w:rsidRPr="008634E1">
              <w:rPr>
                <w:sz w:val="15"/>
                <w:lang w:val="ru-RU"/>
              </w:rPr>
              <w:t xml:space="preserve"> значимо опосредовала связь между рабочим стрессом и гемблингом, а также между выгоранием и </w:t>
            </w:r>
            <w:r>
              <w:rPr>
                <w:sz w:val="15"/>
              </w:rPr>
              <w:t>PG</w:t>
            </w:r>
            <w:r w:rsidRPr="008634E1">
              <w:rPr>
                <w:sz w:val="15"/>
                <w:lang w:val="ru-RU"/>
              </w:rPr>
              <w:t xml:space="preserve">; последовательное опосредование показало, что рабочий стресс связан с </w:t>
            </w:r>
            <w:r>
              <w:rPr>
                <w:sz w:val="15"/>
              </w:rPr>
              <w:t>PG</w:t>
            </w:r>
            <w:r w:rsidRPr="008634E1">
              <w:rPr>
                <w:sz w:val="15"/>
                <w:lang w:val="ru-RU"/>
              </w:rPr>
              <w:t xml:space="preserve"> через влияние выгорания и </w:t>
            </w:r>
            <w:r>
              <w:rPr>
                <w:sz w:val="15"/>
              </w:rPr>
              <w:t>ER</w:t>
            </w:r>
            <w:r w:rsidRPr="008634E1">
              <w:rPr>
                <w:sz w:val="15"/>
                <w:lang w:val="ru-RU"/>
              </w:rPr>
              <w:t xml:space="preserve">, причём </w:t>
            </w:r>
            <w:r>
              <w:rPr>
                <w:sz w:val="15"/>
              </w:rPr>
              <w:t>ER</w:t>
            </w:r>
            <w:r w:rsidRPr="008634E1">
              <w:rPr>
                <w:sz w:val="15"/>
                <w:lang w:val="ru-RU"/>
              </w:rPr>
              <w:t xml:space="preserve"> была наиболее проксимальным психологическим фактором.</w:t>
            </w:r>
          </w:p>
        </w:tc>
      </w:tr>
      <w:tr w:rsidR="005256DC" w:rsidRPr="008634E1" w14:paraId="3AE9A189" w14:textId="77777777">
        <w:trPr>
          <w:cantSplit/>
          <w:jc w:val="center"/>
        </w:trPr>
        <w:tc>
          <w:tcPr>
            <w:tcW w:w="1440" w:type="dxa"/>
            <w:vAlign w:val="center"/>
          </w:tcPr>
          <w:p w14:paraId="7330B5EB" w14:textId="77777777" w:rsidR="005256DC" w:rsidRDefault="00000000">
            <w:r>
              <w:rPr>
                <w:sz w:val="15"/>
              </w:rPr>
              <w:t>19. Williams et al. (2012)</w:t>
            </w:r>
          </w:p>
        </w:tc>
        <w:tc>
          <w:tcPr>
            <w:tcW w:w="1007" w:type="dxa"/>
            <w:vAlign w:val="center"/>
          </w:tcPr>
          <w:p w14:paraId="2EBFE505" w14:textId="77777777" w:rsidR="005256DC" w:rsidRDefault="00000000">
            <w:pPr>
              <w:jc w:val="center"/>
            </w:pPr>
            <w:r>
              <w:rPr>
                <w:sz w:val="15"/>
              </w:rPr>
              <w:t>Австралия</w:t>
            </w:r>
          </w:p>
        </w:tc>
        <w:tc>
          <w:tcPr>
            <w:tcW w:w="1296" w:type="dxa"/>
            <w:vAlign w:val="center"/>
          </w:tcPr>
          <w:p w14:paraId="12C1B2D5" w14:textId="77777777" w:rsidR="005256DC" w:rsidRDefault="00000000">
            <w:pPr>
              <w:jc w:val="center"/>
            </w:pPr>
            <w:r>
              <w:rPr>
                <w:sz w:val="15"/>
              </w:rPr>
              <w:t>Азартные игры</w:t>
            </w:r>
          </w:p>
        </w:tc>
        <w:tc>
          <w:tcPr>
            <w:tcW w:w="1440" w:type="dxa"/>
            <w:vAlign w:val="center"/>
          </w:tcPr>
          <w:p w14:paraId="2BF649D5" w14:textId="77777777" w:rsidR="005256DC" w:rsidRPr="008634E1" w:rsidRDefault="00000000">
            <w:pPr>
              <w:jc w:val="center"/>
              <w:rPr>
                <w:lang w:val="ru-RU"/>
              </w:rPr>
            </w:pPr>
            <w:r w:rsidRPr="008634E1">
              <w:rPr>
                <w:sz w:val="15"/>
                <w:lang w:val="ru-RU"/>
              </w:rPr>
              <w:t>Удобная</w:t>
            </w:r>
            <w:r w:rsidRPr="008634E1">
              <w:rPr>
                <w:sz w:val="15"/>
                <w:lang w:val="ru-RU"/>
              </w:rPr>
              <w:br/>
              <w:t xml:space="preserve">группа </w:t>
            </w:r>
            <w:r>
              <w:rPr>
                <w:sz w:val="15"/>
              </w:rPr>
              <w:t>PG</w:t>
            </w:r>
            <w:r w:rsidRPr="008634E1">
              <w:rPr>
                <w:sz w:val="15"/>
                <w:lang w:val="ru-RU"/>
              </w:rPr>
              <w:t xml:space="preserve">, клинический контроль и </w:t>
            </w:r>
            <w:r>
              <w:rPr>
                <w:sz w:val="15"/>
              </w:rPr>
              <w:t>HC</w:t>
            </w:r>
          </w:p>
        </w:tc>
        <w:tc>
          <w:tcPr>
            <w:tcW w:w="2160" w:type="dxa"/>
            <w:vAlign w:val="center"/>
          </w:tcPr>
          <w:p w14:paraId="227B298D" w14:textId="77777777" w:rsidR="005256DC" w:rsidRPr="008634E1" w:rsidRDefault="00000000">
            <w:pPr>
              <w:rPr>
                <w:lang w:val="ru-RU"/>
              </w:rPr>
            </w:pPr>
            <w:r>
              <w:rPr>
                <w:sz w:val="15"/>
              </w:rPr>
              <w:t>N</w:t>
            </w:r>
            <w:r w:rsidRPr="008634E1">
              <w:rPr>
                <w:sz w:val="15"/>
                <w:lang w:val="ru-RU"/>
              </w:rPr>
              <w:t xml:space="preserve">=56 </w:t>
            </w:r>
            <w:r>
              <w:rPr>
                <w:sz w:val="15"/>
              </w:rPr>
              <w:t>PG</w:t>
            </w:r>
            <w:r w:rsidRPr="008634E1">
              <w:rPr>
                <w:sz w:val="15"/>
                <w:lang w:val="ru-RU"/>
              </w:rPr>
              <w:t xml:space="preserve"> (25%); </w:t>
            </w:r>
            <w:r>
              <w:rPr>
                <w:sz w:val="15"/>
              </w:rPr>
              <w:t>M</w:t>
            </w:r>
            <w:r w:rsidRPr="008634E1">
              <w:rPr>
                <w:sz w:val="15"/>
                <w:lang w:val="ru-RU"/>
              </w:rPr>
              <w:t>возр.=37,73 (</w:t>
            </w:r>
            <w:r>
              <w:rPr>
                <w:sz w:val="15"/>
              </w:rPr>
              <w:t>SD</w:t>
            </w:r>
            <w:r w:rsidRPr="008634E1">
              <w:rPr>
                <w:sz w:val="15"/>
                <w:lang w:val="ru-RU"/>
              </w:rPr>
              <w:t xml:space="preserve">=11,36); </w:t>
            </w:r>
            <w:r>
              <w:rPr>
                <w:sz w:val="15"/>
              </w:rPr>
              <w:t>N</w:t>
            </w:r>
            <w:r w:rsidRPr="008634E1">
              <w:rPr>
                <w:sz w:val="15"/>
                <w:lang w:val="ru-RU"/>
              </w:rPr>
              <w:t xml:space="preserve">=51 </w:t>
            </w:r>
            <w:r>
              <w:rPr>
                <w:sz w:val="15"/>
              </w:rPr>
              <w:t>CC</w:t>
            </w:r>
            <w:r w:rsidRPr="008634E1">
              <w:rPr>
                <w:sz w:val="15"/>
                <w:lang w:val="ru-RU"/>
              </w:rPr>
              <w:t xml:space="preserve"> (66,6%); </w:t>
            </w:r>
            <w:r>
              <w:rPr>
                <w:sz w:val="15"/>
              </w:rPr>
              <w:t>M</w:t>
            </w:r>
            <w:r w:rsidRPr="008634E1">
              <w:rPr>
                <w:sz w:val="15"/>
                <w:lang w:val="ru-RU"/>
              </w:rPr>
              <w:t>возр.=30,98 (</w:t>
            </w:r>
            <w:r>
              <w:rPr>
                <w:sz w:val="15"/>
              </w:rPr>
              <w:t>SD</w:t>
            </w:r>
            <w:r w:rsidRPr="008634E1">
              <w:rPr>
                <w:sz w:val="15"/>
                <w:lang w:val="ru-RU"/>
              </w:rPr>
              <w:t xml:space="preserve">=12,50); </w:t>
            </w:r>
            <w:r>
              <w:rPr>
                <w:sz w:val="15"/>
              </w:rPr>
              <w:t>N</w:t>
            </w:r>
            <w:r w:rsidRPr="008634E1">
              <w:rPr>
                <w:sz w:val="15"/>
                <w:lang w:val="ru-RU"/>
              </w:rPr>
              <w:t xml:space="preserve">=49 </w:t>
            </w:r>
            <w:r>
              <w:rPr>
                <w:sz w:val="15"/>
              </w:rPr>
              <w:t>HC</w:t>
            </w:r>
            <w:r w:rsidRPr="008634E1">
              <w:rPr>
                <w:sz w:val="15"/>
                <w:lang w:val="ru-RU"/>
              </w:rPr>
              <w:t xml:space="preserve"> (77,5%); </w:t>
            </w:r>
            <w:r>
              <w:rPr>
                <w:sz w:val="15"/>
              </w:rPr>
              <w:t>M</w:t>
            </w:r>
            <w:r w:rsidRPr="008634E1">
              <w:rPr>
                <w:sz w:val="15"/>
                <w:lang w:val="ru-RU"/>
              </w:rPr>
              <w:t>возр.=28,97 (</w:t>
            </w:r>
            <w:r>
              <w:rPr>
                <w:sz w:val="15"/>
              </w:rPr>
              <w:t>SD</w:t>
            </w:r>
            <w:r w:rsidRPr="008634E1">
              <w:rPr>
                <w:sz w:val="15"/>
                <w:lang w:val="ru-RU"/>
              </w:rPr>
              <w:t>=8,55)</w:t>
            </w:r>
          </w:p>
        </w:tc>
        <w:tc>
          <w:tcPr>
            <w:tcW w:w="1512" w:type="dxa"/>
            <w:vAlign w:val="center"/>
          </w:tcPr>
          <w:p w14:paraId="69F5D066" w14:textId="77777777" w:rsidR="005256DC" w:rsidRDefault="00000000">
            <w:r>
              <w:rPr>
                <w:sz w:val="15"/>
              </w:rPr>
              <w:t>DERS, ERQ, SOGS, SCIP</w:t>
            </w:r>
          </w:p>
        </w:tc>
        <w:tc>
          <w:tcPr>
            <w:tcW w:w="1800" w:type="dxa"/>
            <w:vAlign w:val="center"/>
          </w:tcPr>
          <w:p w14:paraId="1648D284" w14:textId="77777777" w:rsidR="005256DC" w:rsidRPr="008634E1" w:rsidRDefault="00000000">
            <w:pPr>
              <w:rPr>
                <w:lang w:val="ru-RU"/>
              </w:rPr>
            </w:pPr>
            <w:r w:rsidRPr="008634E1">
              <w:rPr>
                <w:sz w:val="15"/>
                <w:lang w:val="ru-RU"/>
              </w:rPr>
              <w:t xml:space="preserve">Корреляции нулевого порядка; частичные корреляции; </w:t>
            </w:r>
            <w:r>
              <w:rPr>
                <w:sz w:val="15"/>
              </w:rPr>
              <w:t>MANCOVA</w:t>
            </w:r>
            <w:r w:rsidRPr="008634E1">
              <w:rPr>
                <w:sz w:val="15"/>
                <w:lang w:val="ru-RU"/>
              </w:rPr>
              <w:t>; однофакторные тесты</w:t>
            </w:r>
          </w:p>
        </w:tc>
        <w:tc>
          <w:tcPr>
            <w:tcW w:w="4392" w:type="dxa"/>
            <w:vAlign w:val="center"/>
          </w:tcPr>
          <w:p w14:paraId="02C0D64B" w14:textId="77777777" w:rsidR="005256DC" w:rsidRPr="008634E1" w:rsidRDefault="00000000">
            <w:pPr>
              <w:rPr>
                <w:lang w:val="ru-RU"/>
              </w:rPr>
            </w:pPr>
            <w:r w:rsidRPr="008634E1">
              <w:rPr>
                <w:sz w:val="15"/>
                <w:lang w:val="ru-RU"/>
              </w:rPr>
              <w:t xml:space="preserve">Группы </w:t>
            </w:r>
            <w:r>
              <w:rPr>
                <w:sz w:val="15"/>
              </w:rPr>
              <w:t>PG</w:t>
            </w:r>
            <w:r w:rsidRPr="008634E1">
              <w:rPr>
                <w:sz w:val="15"/>
                <w:lang w:val="ru-RU"/>
              </w:rPr>
              <w:t xml:space="preserve"> и </w:t>
            </w:r>
            <w:r>
              <w:rPr>
                <w:sz w:val="15"/>
              </w:rPr>
              <w:t>CC</w:t>
            </w:r>
            <w:r w:rsidRPr="008634E1">
              <w:rPr>
                <w:sz w:val="15"/>
                <w:lang w:val="ru-RU"/>
              </w:rPr>
              <w:t xml:space="preserve"> сообщали о значимо меньшем использовании когнитивной переоценки и большей недостаточности эмоциональной ясности и импульсивности, чем </w:t>
            </w:r>
            <w:r>
              <w:rPr>
                <w:sz w:val="15"/>
              </w:rPr>
              <w:t>HC</w:t>
            </w:r>
            <w:r w:rsidRPr="008634E1">
              <w:rPr>
                <w:sz w:val="15"/>
                <w:lang w:val="ru-RU"/>
              </w:rPr>
              <w:t xml:space="preserve">; у </w:t>
            </w:r>
            <w:r>
              <w:rPr>
                <w:sz w:val="15"/>
              </w:rPr>
              <w:t>PG</w:t>
            </w:r>
            <w:r w:rsidRPr="008634E1">
              <w:rPr>
                <w:sz w:val="15"/>
                <w:lang w:val="ru-RU"/>
              </w:rPr>
              <w:t xml:space="preserve"> отмечался более выраженный дефицит эмоциональной осознанности по сравнению с </w:t>
            </w:r>
            <w:r>
              <w:rPr>
                <w:sz w:val="15"/>
              </w:rPr>
              <w:t>HC</w:t>
            </w:r>
            <w:r w:rsidRPr="008634E1">
              <w:rPr>
                <w:sz w:val="15"/>
                <w:lang w:val="ru-RU"/>
              </w:rPr>
              <w:t xml:space="preserve"> и различия в доступе к эффективным </w:t>
            </w:r>
            <w:r>
              <w:rPr>
                <w:sz w:val="15"/>
              </w:rPr>
              <w:t>ER</w:t>
            </w:r>
            <w:r w:rsidRPr="008634E1">
              <w:rPr>
                <w:sz w:val="15"/>
                <w:lang w:val="ru-RU"/>
              </w:rPr>
              <w:t xml:space="preserve">-стратегиям по сравнению и с </w:t>
            </w:r>
            <w:r>
              <w:rPr>
                <w:sz w:val="15"/>
              </w:rPr>
              <w:t>CC</w:t>
            </w:r>
            <w:r w:rsidRPr="008634E1">
              <w:rPr>
                <w:sz w:val="15"/>
                <w:lang w:val="ru-RU"/>
              </w:rPr>
              <w:t xml:space="preserve">, и с </w:t>
            </w:r>
            <w:r>
              <w:rPr>
                <w:sz w:val="15"/>
              </w:rPr>
              <w:t>HC</w:t>
            </w:r>
            <w:r w:rsidRPr="008634E1">
              <w:rPr>
                <w:sz w:val="15"/>
                <w:lang w:val="ru-RU"/>
              </w:rPr>
              <w:t>.</w:t>
            </w:r>
          </w:p>
        </w:tc>
      </w:tr>
      <w:tr w:rsidR="005256DC" w:rsidRPr="008634E1" w14:paraId="3DEC02D3" w14:textId="77777777">
        <w:trPr>
          <w:cantSplit/>
          <w:jc w:val="center"/>
        </w:trPr>
        <w:tc>
          <w:tcPr>
            <w:tcW w:w="1440" w:type="dxa"/>
            <w:vAlign w:val="center"/>
          </w:tcPr>
          <w:p w14:paraId="2FE6D7A5" w14:textId="77777777" w:rsidR="005256DC" w:rsidRDefault="00000000">
            <w:r>
              <w:rPr>
                <w:sz w:val="15"/>
              </w:rPr>
              <w:t>20. Yen et al. (2018)</w:t>
            </w:r>
          </w:p>
        </w:tc>
        <w:tc>
          <w:tcPr>
            <w:tcW w:w="1007" w:type="dxa"/>
            <w:vAlign w:val="center"/>
          </w:tcPr>
          <w:p w14:paraId="45EB9B60" w14:textId="77777777" w:rsidR="005256DC" w:rsidRDefault="00000000">
            <w:pPr>
              <w:jc w:val="center"/>
            </w:pPr>
            <w:r>
              <w:rPr>
                <w:sz w:val="15"/>
              </w:rPr>
              <w:t>Тайвань</w:t>
            </w:r>
          </w:p>
        </w:tc>
        <w:tc>
          <w:tcPr>
            <w:tcW w:w="1296" w:type="dxa"/>
            <w:vAlign w:val="center"/>
          </w:tcPr>
          <w:p w14:paraId="7AB481D2" w14:textId="77777777" w:rsidR="005256DC" w:rsidRDefault="00000000">
            <w:pPr>
              <w:jc w:val="center"/>
            </w:pPr>
            <w:r>
              <w:rPr>
                <w:sz w:val="15"/>
              </w:rPr>
              <w:t>Видеоигры</w:t>
            </w:r>
          </w:p>
        </w:tc>
        <w:tc>
          <w:tcPr>
            <w:tcW w:w="1440" w:type="dxa"/>
            <w:vAlign w:val="center"/>
          </w:tcPr>
          <w:p w14:paraId="79E54E38" w14:textId="77777777" w:rsidR="005256DC" w:rsidRPr="008634E1" w:rsidRDefault="00000000">
            <w:pPr>
              <w:jc w:val="center"/>
              <w:rPr>
                <w:lang w:val="ru-RU"/>
              </w:rPr>
            </w:pPr>
            <w:r w:rsidRPr="008634E1">
              <w:rPr>
                <w:sz w:val="15"/>
                <w:lang w:val="ru-RU"/>
              </w:rPr>
              <w:t>Удобная</w:t>
            </w:r>
            <w:r w:rsidRPr="008634E1">
              <w:rPr>
                <w:sz w:val="15"/>
                <w:lang w:val="ru-RU"/>
              </w:rPr>
              <w:br/>
              <w:t xml:space="preserve">группа </w:t>
            </w:r>
            <w:r>
              <w:rPr>
                <w:sz w:val="15"/>
              </w:rPr>
              <w:t>IGD</w:t>
            </w:r>
            <w:r w:rsidRPr="008634E1">
              <w:rPr>
                <w:sz w:val="15"/>
                <w:lang w:val="ru-RU"/>
              </w:rPr>
              <w:t xml:space="preserve"> и сопоставленная </w:t>
            </w:r>
            <w:r>
              <w:rPr>
                <w:sz w:val="15"/>
              </w:rPr>
              <w:t>HC</w:t>
            </w:r>
          </w:p>
        </w:tc>
        <w:tc>
          <w:tcPr>
            <w:tcW w:w="2160" w:type="dxa"/>
            <w:vAlign w:val="center"/>
          </w:tcPr>
          <w:p w14:paraId="6CF6C0FD" w14:textId="77777777" w:rsidR="005256DC" w:rsidRDefault="00000000">
            <w:r>
              <w:rPr>
                <w:sz w:val="15"/>
              </w:rPr>
              <w:t>N</w:t>
            </w:r>
            <w:r w:rsidRPr="008634E1">
              <w:rPr>
                <w:sz w:val="15"/>
                <w:lang w:val="ru-RU"/>
              </w:rPr>
              <w:t xml:space="preserve">=174 (20%; 87/87); </w:t>
            </w:r>
            <w:r>
              <w:rPr>
                <w:sz w:val="15"/>
              </w:rPr>
              <w:t>M</w:t>
            </w:r>
            <w:r w:rsidRPr="008634E1">
              <w:rPr>
                <w:sz w:val="15"/>
                <w:lang w:val="ru-RU"/>
              </w:rPr>
              <w:t xml:space="preserve">возр. </w:t>
            </w:r>
            <w:r>
              <w:rPr>
                <w:sz w:val="15"/>
              </w:rPr>
              <w:t>CC</w:t>
            </w:r>
            <w:r w:rsidRPr="008634E1">
              <w:rPr>
                <w:sz w:val="15"/>
                <w:lang w:val="ru-RU"/>
              </w:rPr>
              <w:t>=23,29 (</w:t>
            </w:r>
            <w:r>
              <w:rPr>
                <w:sz w:val="15"/>
              </w:rPr>
              <w:t>SD</w:t>
            </w:r>
            <w:r w:rsidRPr="008634E1">
              <w:rPr>
                <w:sz w:val="15"/>
                <w:lang w:val="ru-RU"/>
              </w:rPr>
              <w:t xml:space="preserve">=2,34), </w:t>
            </w:r>
            <w:r>
              <w:rPr>
                <w:sz w:val="15"/>
              </w:rPr>
              <w:t>M</w:t>
            </w:r>
            <w:r w:rsidRPr="008634E1">
              <w:rPr>
                <w:sz w:val="15"/>
                <w:lang w:val="ru-RU"/>
              </w:rPr>
              <w:t xml:space="preserve">возр. </w:t>
            </w:r>
            <w:r>
              <w:rPr>
                <w:sz w:val="15"/>
              </w:rPr>
              <w:t>HC=23,38 (SD=2,40)</w:t>
            </w:r>
          </w:p>
        </w:tc>
        <w:tc>
          <w:tcPr>
            <w:tcW w:w="1512" w:type="dxa"/>
            <w:vAlign w:val="center"/>
          </w:tcPr>
          <w:p w14:paraId="5156937C" w14:textId="77777777" w:rsidR="005256DC" w:rsidRDefault="00000000">
            <w:r>
              <w:rPr>
                <w:sz w:val="15"/>
              </w:rPr>
              <w:t>Критерии DSM-5 для IGD; MINI; ERQ</w:t>
            </w:r>
          </w:p>
        </w:tc>
        <w:tc>
          <w:tcPr>
            <w:tcW w:w="1800" w:type="dxa"/>
            <w:vAlign w:val="center"/>
          </w:tcPr>
          <w:p w14:paraId="0164D358" w14:textId="77777777" w:rsidR="005256DC" w:rsidRDefault="00000000">
            <w:r>
              <w:rPr>
                <w:sz w:val="15"/>
              </w:rPr>
              <w:t>Логистическая и линейная регрессия</w:t>
            </w:r>
          </w:p>
        </w:tc>
        <w:tc>
          <w:tcPr>
            <w:tcW w:w="4392" w:type="dxa"/>
            <w:vAlign w:val="center"/>
          </w:tcPr>
          <w:p w14:paraId="140C7B89" w14:textId="77777777" w:rsidR="005256DC" w:rsidRPr="008634E1" w:rsidRDefault="00000000">
            <w:pPr>
              <w:rPr>
                <w:lang w:val="ru-RU"/>
              </w:rPr>
            </w:pPr>
            <w:r w:rsidRPr="008634E1">
              <w:rPr>
                <w:lang w:val="ru-RU"/>
              </w:rPr>
              <w:t xml:space="preserve">В группе </w:t>
            </w:r>
            <w:r>
              <w:t>IGD</w:t>
            </w:r>
            <w:r w:rsidRPr="008634E1">
              <w:rPr>
                <w:lang w:val="ru-RU"/>
              </w:rPr>
              <w:t xml:space="preserve"> были значимо более низкие показатели когнитивная переоценка и более высокие показатели экспрессивное подавление; когнитивная переоценка выступала значимым отрицательным предиктором </w:t>
            </w:r>
            <w:r>
              <w:t>IGD</w:t>
            </w:r>
            <w:r w:rsidRPr="008634E1">
              <w:rPr>
                <w:lang w:val="ru-RU"/>
              </w:rPr>
              <w:t xml:space="preserve">, а экспрессивное подавление — значимым положительным предиктором </w:t>
            </w:r>
            <w:r>
              <w:t>IGD</w:t>
            </w:r>
            <w:r w:rsidRPr="008634E1">
              <w:rPr>
                <w:lang w:val="ru-RU"/>
              </w:rPr>
              <w:t xml:space="preserve">; более высокое подавление и более низкая переоценка значимо предсказывали коморбидные расстройства настроения в группе </w:t>
            </w:r>
            <w:r>
              <w:t>IGD</w:t>
            </w:r>
            <w:r w:rsidRPr="008634E1">
              <w:rPr>
                <w:lang w:val="ru-RU"/>
              </w:rPr>
              <w:t>.</w:t>
            </w:r>
          </w:p>
        </w:tc>
      </w:tr>
    </w:tbl>
    <w:p w14:paraId="223525A5" w14:textId="77777777" w:rsidR="005256DC" w:rsidRPr="008634E1" w:rsidRDefault="00000000">
      <w:pPr>
        <w:spacing w:after="160"/>
        <w:rPr>
          <w:lang w:val="ru-RU"/>
        </w:rPr>
      </w:pPr>
      <w:r w:rsidRPr="008634E1">
        <w:rPr>
          <w:lang w:val="ru-RU"/>
        </w:rPr>
        <w:t xml:space="preserve">Примечание. </w:t>
      </w:r>
      <w:r>
        <w:t>ACEs</w:t>
      </w:r>
      <w:r w:rsidRPr="008634E1">
        <w:rPr>
          <w:lang w:val="ru-RU"/>
        </w:rPr>
        <w:t xml:space="preserve"> — неблагоприятный детский опыт; </w:t>
      </w:r>
      <w:r>
        <w:t>ANOVA</w:t>
      </w:r>
      <w:r w:rsidRPr="008634E1">
        <w:rPr>
          <w:lang w:val="ru-RU"/>
        </w:rPr>
        <w:t xml:space="preserve"> — дисперсионный анализ; </w:t>
      </w:r>
      <w:r>
        <w:t>ASQ</w:t>
      </w:r>
      <w:r w:rsidRPr="008634E1">
        <w:rPr>
          <w:lang w:val="ru-RU"/>
        </w:rPr>
        <w:t xml:space="preserve"> — опросник аффективного стиля; </w:t>
      </w:r>
      <w:r>
        <w:t>ATQ</w:t>
      </w:r>
      <w:r w:rsidRPr="008634E1">
        <w:rPr>
          <w:lang w:val="ru-RU"/>
        </w:rPr>
        <w:t>-</w:t>
      </w:r>
      <w:r>
        <w:t>SF</w:t>
      </w:r>
      <w:r w:rsidRPr="008634E1">
        <w:rPr>
          <w:lang w:val="ru-RU"/>
        </w:rPr>
        <w:t xml:space="preserve"> — краткая форма опросника темперамента взрослых; </w:t>
      </w:r>
      <w:r>
        <w:t>CC</w:t>
      </w:r>
      <w:r w:rsidRPr="008634E1">
        <w:rPr>
          <w:lang w:val="ru-RU"/>
        </w:rPr>
        <w:t xml:space="preserve"> — клинический контроль; </w:t>
      </w:r>
      <w:r>
        <w:t>CERQ</w:t>
      </w:r>
      <w:r w:rsidRPr="008634E1">
        <w:rPr>
          <w:lang w:val="ru-RU"/>
        </w:rPr>
        <w:t>/</w:t>
      </w:r>
      <w:r>
        <w:t>CERG</w:t>
      </w:r>
      <w:r w:rsidRPr="008634E1">
        <w:rPr>
          <w:lang w:val="ru-RU"/>
        </w:rPr>
        <w:t xml:space="preserve"> — опросник когнитивной регуляции эмоций; </w:t>
      </w:r>
      <w:r>
        <w:t>CFI</w:t>
      </w:r>
      <w:r w:rsidRPr="008634E1">
        <w:rPr>
          <w:lang w:val="ru-RU"/>
        </w:rPr>
        <w:t xml:space="preserve"> — сравнительный индекс соответствия; </w:t>
      </w:r>
      <w:r>
        <w:t>CPGI</w:t>
      </w:r>
      <w:r w:rsidRPr="008634E1">
        <w:rPr>
          <w:lang w:val="ru-RU"/>
        </w:rPr>
        <w:t xml:space="preserve"> — Канадский индекс проблемного гемблинга; </w:t>
      </w:r>
      <w:r>
        <w:t>CSAS</w:t>
      </w:r>
      <w:r w:rsidRPr="008634E1">
        <w:rPr>
          <w:lang w:val="ru-RU"/>
        </w:rPr>
        <w:t xml:space="preserve"> — шкала зависимости от видеоигр; </w:t>
      </w:r>
      <w:r>
        <w:t>DERS</w:t>
      </w:r>
      <w:r w:rsidRPr="008634E1">
        <w:rPr>
          <w:lang w:val="ru-RU"/>
        </w:rPr>
        <w:t xml:space="preserve"> — шкала трудностей регуляции эмоций; </w:t>
      </w:r>
      <w:r>
        <w:t>DSM</w:t>
      </w:r>
      <w:r w:rsidRPr="008634E1">
        <w:rPr>
          <w:lang w:val="ru-RU"/>
        </w:rPr>
        <w:t xml:space="preserve"> — Диагностическое и статистическое руководство по психическим расстройствам; </w:t>
      </w:r>
      <w:r>
        <w:t>ER</w:t>
      </w:r>
      <w:r w:rsidRPr="008634E1">
        <w:rPr>
          <w:lang w:val="ru-RU"/>
        </w:rPr>
        <w:t xml:space="preserve"> — регуляция эмоций; </w:t>
      </w:r>
      <w:r>
        <w:t>ERQ</w:t>
      </w:r>
      <w:r w:rsidRPr="008634E1">
        <w:rPr>
          <w:lang w:val="ru-RU"/>
        </w:rPr>
        <w:t xml:space="preserve"> — опросник регуляции эмоций; </w:t>
      </w:r>
      <w:r>
        <w:t>GD</w:t>
      </w:r>
      <w:r w:rsidRPr="008634E1">
        <w:rPr>
          <w:lang w:val="ru-RU"/>
        </w:rPr>
        <w:t xml:space="preserve"> — расстройство, связанное с азартными играми; </w:t>
      </w:r>
      <w:r>
        <w:t>GRCS</w:t>
      </w:r>
      <w:r w:rsidRPr="008634E1">
        <w:rPr>
          <w:lang w:val="ru-RU"/>
        </w:rPr>
        <w:t xml:space="preserve"> </w:t>
      </w:r>
      <w:r w:rsidRPr="008634E1">
        <w:rPr>
          <w:lang w:val="ru-RU"/>
        </w:rPr>
        <w:lastRenderedPageBreak/>
        <w:t xml:space="preserve">— шкала когниций, связанных с азартными играми; </w:t>
      </w:r>
      <w:r>
        <w:t>HC</w:t>
      </w:r>
      <w:r w:rsidRPr="008634E1">
        <w:rPr>
          <w:lang w:val="ru-RU"/>
        </w:rPr>
        <w:t xml:space="preserve"> — здоровый контроль; </w:t>
      </w:r>
      <w:r>
        <w:t>IAT</w:t>
      </w:r>
      <w:r w:rsidRPr="008634E1">
        <w:rPr>
          <w:lang w:val="ru-RU"/>
        </w:rPr>
        <w:t>-</w:t>
      </w:r>
      <w:r>
        <w:t>WoW</w:t>
      </w:r>
      <w:r w:rsidRPr="008634E1">
        <w:rPr>
          <w:lang w:val="ru-RU"/>
        </w:rPr>
        <w:t xml:space="preserve"> — тест интернет-зависимости для </w:t>
      </w:r>
      <w:r>
        <w:t>World</w:t>
      </w:r>
      <w:r w:rsidRPr="008634E1">
        <w:rPr>
          <w:lang w:val="ru-RU"/>
        </w:rPr>
        <w:t xml:space="preserve"> </w:t>
      </w:r>
      <w:r>
        <w:t>of</w:t>
      </w:r>
      <w:r w:rsidRPr="008634E1">
        <w:rPr>
          <w:lang w:val="ru-RU"/>
        </w:rPr>
        <w:t xml:space="preserve"> </w:t>
      </w:r>
      <w:r>
        <w:t>Warcraft</w:t>
      </w:r>
      <w:r w:rsidRPr="008634E1">
        <w:rPr>
          <w:lang w:val="ru-RU"/>
        </w:rPr>
        <w:t xml:space="preserve">; </w:t>
      </w:r>
      <w:r>
        <w:t>IGA</w:t>
      </w:r>
      <w:r w:rsidRPr="008634E1">
        <w:rPr>
          <w:lang w:val="ru-RU"/>
        </w:rPr>
        <w:t xml:space="preserve"> — интернет-игровая аддикция; </w:t>
      </w:r>
      <w:r>
        <w:t>IGD</w:t>
      </w:r>
      <w:r w:rsidRPr="008634E1">
        <w:rPr>
          <w:lang w:val="ru-RU"/>
        </w:rPr>
        <w:t xml:space="preserve"> — интернет-игровое расстройство; </w:t>
      </w:r>
      <w:r>
        <w:t>LoC</w:t>
      </w:r>
      <w:r w:rsidRPr="008634E1">
        <w:rPr>
          <w:lang w:val="ru-RU"/>
        </w:rPr>
        <w:t xml:space="preserve"> — локус контроля; </w:t>
      </w:r>
      <w:r>
        <w:t>MANCOVA</w:t>
      </w:r>
      <w:r w:rsidRPr="008634E1">
        <w:rPr>
          <w:lang w:val="ru-RU"/>
        </w:rPr>
        <w:t xml:space="preserve"> — многомерный ковариационный анализ; </w:t>
      </w:r>
      <w:r>
        <w:t>MANOVA</w:t>
      </w:r>
      <w:r w:rsidRPr="008634E1">
        <w:rPr>
          <w:lang w:val="ru-RU"/>
        </w:rPr>
        <w:t xml:space="preserve"> — многомерный дисперсионный анализ; </w:t>
      </w:r>
      <w:r>
        <w:t>MINI</w:t>
      </w:r>
      <w:r w:rsidRPr="008634E1">
        <w:rPr>
          <w:lang w:val="ru-RU"/>
        </w:rPr>
        <w:t xml:space="preserve"> — мини-международное нейропсихиатрическое интервью; </w:t>
      </w:r>
      <w:r>
        <w:t>NPG</w:t>
      </w:r>
      <w:r w:rsidRPr="008634E1">
        <w:rPr>
          <w:lang w:val="ru-RU"/>
        </w:rPr>
        <w:t xml:space="preserve"> — игроки без проблемного гемблинга; </w:t>
      </w:r>
      <w:r>
        <w:t>PG</w:t>
      </w:r>
      <w:r w:rsidRPr="008634E1">
        <w:rPr>
          <w:lang w:val="ru-RU"/>
        </w:rPr>
        <w:t xml:space="preserve"> — проблемный гемблинг; </w:t>
      </w:r>
      <w:r>
        <w:t>PGSI</w:t>
      </w:r>
      <w:r w:rsidRPr="008634E1">
        <w:rPr>
          <w:lang w:val="ru-RU"/>
        </w:rPr>
        <w:t xml:space="preserve"> — индекс тяжести проблемного гемблинга; </w:t>
      </w:r>
      <w:r>
        <w:t>PSI</w:t>
      </w:r>
      <w:r w:rsidRPr="008634E1">
        <w:rPr>
          <w:lang w:val="ru-RU"/>
        </w:rPr>
        <w:t xml:space="preserve">-2 — инвентарь личностных ресурсов; </w:t>
      </w:r>
      <w:r>
        <w:t>PVGU</w:t>
      </w:r>
      <w:r w:rsidRPr="008634E1">
        <w:rPr>
          <w:lang w:val="ru-RU"/>
        </w:rPr>
        <w:t xml:space="preserve"> — проблемное использование видеоигр; </w:t>
      </w:r>
      <w:r>
        <w:t>RA</w:t>
      </w:r>
      <w:r w:rsidRPr="008634E1">
        <w:rPr>
          <w:lang w:val="ru-RU"/>
        </w:rPr>
        <w:t xml:space="preserve"> — подростковая ревизия шкалы; </w:t>
      </w:r>
      <w:r>
        <w:t>RMSEA</w:t>
      </w:r>
      <w:r w:rsidRPr="008634E1">
        <w:rPr>
          <w:lang w:val="ru-RU"/>
        </w:rPr>
        <w:t xml:space="preserve"> — среднеквадратичная ошибка аппроксимации; </w:t>
      </w:r>
      <w:r>
        <w:t>SCDC</w:t>
      </w:r>
      <w:r w:rsidRPr="008634E1">
        <w:rPr>
          <w:lang w:val="ru-RU"/>
        </w:rPr>
        <w:t xml:space="preserve"> — шкала нарушений социальной коммуникации; </w:t>
      </w:r>
      <w:r>
        <w:t>SCIP</w:t>
      </w:r>
      <w:r w:rsidRPr="008634E1">
        <w:rPr>
          <w:lang w:val="ru-RU"/>
        </w:rPr>
        <w:t xml:space="preserve"> — структурированное клиническое интервью для патологического гемблинга; </w:t>
      </w:r>
      <w:r>
        <w:t>SEM</w:t>
      </w:r>
      <w:r w:rsidRPr="008634E1">
        <w:rPr>
          <w:lang w:val="ru-RU"/>
        </w:rPr>
        <w:t xml:space="preserve"> — моделирование структурными уравнениями; </w:t>
      </w:r>
      <w:r>
        <w:t>SOGS</w:t>
      </w:r>
      <w:r w:rsidRPr="008634E1">
        <w:rPr>
          <w:lang w:val="ru-RU"/>
        </w:rPr>
        <w:t xml:space="preserve"> — шкала </w:t>
      </w:r>
      <w:r>
        <w:t>South</w:t>
      </w:r>
      <w:r w:rsidRPr="008634E1">
        <w:rPr>
          <w:lang w:val="ru-RU"/>
        </w:rPr>
        <w:t xml:space="preserve"> </w:t>
      </w:r>
      <w:r>
        <w:t>Oaks</w:t>
      </w:r>
      <w:r w:rsidRPr="008634E1">
        <w:rPr>
          <w:lang w:val="ru-RU"/>
        </w:rPr>
        <w:t xml:space="preserve"> для скрининга гемблинга; </w:t>
      </w:r>
      <w:r>
        <w:t>TLI</w:t>
      </w:r>
      <w:r w:rsidRPr="008634E1">
        <w:rPr>
          <w:lang w:val="ru-RU"/>
        </w:rPr>
        <w:t xml:space="preserve"> — индекс Такера—Льюиса; </w:t>
      </w:r>
      <w:r>
        <w:t>UPPS</w:t>
      </w:r>
      <w:r w:rsidRPr="008634E1">
        <w:rPr>
          <w:lang w:val="ru-RU"/>
        </w:rPr>
        <w:t>-</w:t>
      </w:r>
      <w:r>
        <w:t>P</w:t>
      </w:r>
      <w:r w:rsidRPr="008634E1">
        <w:rPr>
          <w:lang w:val="ru-RU"/>
        </w:rPr>
        <w:t xml:space="preserve"> — шкала импульсивного поведения </w:t>
      </w:r>
      <w:r>
        <w:t>UPPS</w:t>
      </w:r>
      <w:r w:rsidRPr="008634E1">
        <w:rPr>
          <w:lang w:val="ru-RU"/>
        </w:rPr>
        <w:t>-</w:t>
      </w:r>
      <w:r>
        <w:t>P</w:t>
      </w:r>
      <w:r w:rsidRPr="008634E1">
        <w:rPr>
          <w:lang w:val="ru-RU"/>
        </w:rPr>
        <w:t xml:space="preserve">; </w:t>
      </w:r>
      <w:r>
        <w:t>VG</w:t>
      </w:r>
      <w:r w:rsidRPr="008634E1">
        <w:rPr>
          <w:lang w:val="ru-RU"/>
        </w:rPr>
        <w:t xml:space="preserve"> — видеоигры.</w:t>
      </w:r>
    </w:p>
    <w:p w14:paraId="6BF1E3A9" w14:textId="77777777" w:rsidR="005256DC" w:rsidRPr="008634E1" w:rsidRDefault="005256DC">
      <w:pPr>
        <w:rPr>
          <w:lang w:val="ru-RU"/>
        </w:rPr>
        <w:sectPr w:rsidR="005256DC" w:rsidRPr="008634E1">
          <w:pgSz w:w="15840" w:h="12240" w:orient="landscape"/>
          <w:pgMar w:top="850" w:right="680" w:bottom="850" w:left="680" w:header="720" w:footer="720" w:gutter="0"/>
          <w:cols w:space="720"/>
          <w:docGrid w:linePitch="360"/>
        </w:sectPr>
      </w:pPr>
    </w:p>
    <w:p w14:paraId="39B7B77E" w14:textId="77777777" w:rsidR="005256DC" w:rsidRPr="008634E1" w:rsidRDefault="00000000">
      <w:pPr>
        <w:spacing w:after="80"/>
        <w:rPr>
          <w:lang w:val="ru-RU"/>
        </w:rPr>
      </w:pPr>
      <w:r w:rsidRPr="008634E1">
        <w:rPr>
          <w:i/>
          <w:sz w:val="22"/>
          <w:lang w:val="ru-RU"/>
        </w:rPr>
        <w:lastRenderedPageBreak/>
        <w:t>Рисунок 1. Блок-схема отбора исследований.</w:t>
      </w:r>
    </w:p>
    <w:p w14:paraId="5807223B" w14:textId="77777777" w:rsidR="005256DC" w:rsidRPr="008634E1" w:rsidRDefault="00000000">
      <w:pPr>
        <w:spacing w:after="120"/>
        <w:rPr>
          <w:lang w:val="ru-RU"/>
        </w:rPr>
      </w:pPr>
      <w:r w:rsidRPr="008634E1">
        <w:rPr>
          <w:lang w:val="ru-RU"/>
        </w:rPr>
        <w:t xml:space="preserve">Содержание схемы: </w:t>
      </w:r>
      <w:r>
        <w:t>PsycINFO</w:t>
      </w:r>
      <w:r w:rsidRPr="008634E1">
        <w:rPr>
          <w:lang w:val="ru-RU"/>
        </w:rPr>
        <w:t xml:space="preserve"> — 269 публикаций; </w:t>
      </w:r>
      <w:r>
        <w:t>Medline</w:t>
      </w:r>
      <w:r w:rsidRPr="008634E1">
        <w:rPr>
          <w:lang w:val="ru-RU"/>
        </w:rPr>
        <w:t xml:space="preserve"> — 132; </w:t>
      </w:r>
      <w:r>
        <w:t>PubMed</w:t>
      </w:r>
      <w:r w:rsidRPr="008634E1">
        <w:rPr>
          <w:lang w:val="ru-RU"/>
        </w:rPr>
        <w:t xml:space="preserve"> — 4110; </w:t>
      </w:r>
      <w:r>
        <w:t>Web</w:t>
      </w:r>
      <w:r w:rsidRPr="008634E1">
        <w:rPr>
          <w:lang w:val="ru-RU"/>
        </w:rPr>
        <w:t xml:space="preserve"> </w:t>
      </w:r>
      <w:r>
        <w:t>of</w:t>
      </w:r>
      <w:r w:rsidRPr="008634E1">
        <w:rPr>
          <w:lang w:val="ru-RU"/>
        </w:rPr>
        <w:t xml:space="preserve"> </w:t>
      </w:r>
      <w:r>
        <w:t>Science</w:t>
      </w:r>
      <w:r w:rsidRPr="008634E1">
        <w:rPr>
          <w:lang w:val="ru-RU"/>
        </w:rPr>
        <w:t xml:space="preserve"> — 4033; всего проверено 2471 неповторяющаяся запись. После первичного просмотра названий и аннотаций исключено 2363 записи. После обратного поиска дополнительно получено 108 статей. На этапе полнотекстового анализа исключено 88 статей. В итоговый обзор включено 20 статей. На первом этапе применялись следующие критерии включения/исключения: (1) только англоязычные публикации; (2) только публикации за последние 19 лет (январь 2000 года — март 2019 года); (3) только количественные исследования; (4) исключались интервенционные исследования; (5) исключались неврологические исследования. На последнем этапе включались исследования: (1) посвящённые </w:t>
      </w:r>
      <w:r>
        <w:t>ER</w:t>
      </w:r>
      <w:r w:rsidRPr="008634E1">
        <w:rPr>
          <w:lang w:val="ru-RU"/>
        </w:rPr>
        <w:t xml:space="preserve"> (в понимании </w:t>
      </w:r>
      <w:r>
        <w:t>Gratz</w:t>
      </w:r>
      <w:r w:rsidRPr="008634E1">
        <w:rPr>
          <w:lang w:val="ru-RU"/>
        </w:rPr>
        <w:t xml:space="preserve"> &amp; </w:t>
      </w:r>
      <w:r>
        <w:t>Roemer</w:t>
      </w:r>
      <w:r w:rsidRPr="008634E1">
        <w:rPr>
          <w:lang w:val="ru-RU"/>
        </w:rPr>
        <w:t xml:space="preserve">, 2004) или </w:t>
      </w:r>
      <w:r>
        <w:t>ER</w:t>
      </w:r>
      <w:r w:rsidRPr="008634E1">
        <w:rPr>
          <w:lang w:val="ru-RU"/>
        </w:rPr>
        <w:t>-стратегиям; (2) рассматривавшие либо проблемный гемблинг, либо проблемное видеоигровое поведение; (3) анализировавшие прямые или косвенные эффекты между переменными.</w:t>
      </w:r>
    </w:p>
    <w:p w14:paraId="24B919E3" w14:textId="77777777" w:rsidR="005256DC" w:rsidRPr="008634E1" w:rsidRDefault="00000000">
      <w:pPr>
        <w:pStyle w:val="21"/>
        <w:rPr>
          <w:lang w:val="ru-RU"/>
        </w:rPr>
      </w:pPr>
      <w:r w:rsidRPr="008634E1">
        <w:rPr>
          <w:rFonts w:ascii="Times New Roman" w:hAnsi="Times New Roman"/>
          <w:lang w:val="ru-RU"/>
        </w:rPr>
        <w:t>Характеристики исследований</w:t>
      </w:r>
    </w:p>
    <w:p w14:paraId="6C22D4E1" w14:textId="77777777" w:rsidR="005256DC" w:rsidRPr="008634E1" w:rsidRDefault="00000000">
      <w:pPr>
        <w:spacing w:after="120"/>
        <w:rPr>
          <w:lang w:val="ru-RU"/>
        </w:rPr>
      </w:pPr>
      <w:r w:rsidRPr="008634E1">
        <w:rPr>
          <w:lang w:val="ru-RU"/>
        </w:rPr>
        <w:t>Характеристики отобранных исследований представлены в таблице 1. Большинство включённых исследований (95%) были опубликованы в последние 5 лет (2014-2019), более половины (65%) выполнены в Европе, и большая часть работ (</w:t>
      </w:r>
      <w:r>
        <w:t>k</w:t>
      </w:r>
      <w:r w:rsidRPr="008634E1">
        <w:rPr>
          <w:lang w:val="ru-RU"/>
        </w:rPr>
        <w:t xml:space="preserve">=13) была посвящена связи между проблемным азартным поведением и </w:t>
      </w:r>
      <w:r>
        <w:t>ER</w:t>
      </w:r>
      <w:r w:rsidRPr="008634E1">
        <w:rPr>
          <w:lang w:val="ru-RU"/>
        </w:rPr>
        <w:t>.</w:t>
      </w:r>
    </w:p>
    <w:p w14:paraId="0F4DBD84" w14:textId="77777777" w:rsidR="005256DC" w:rsidRPr="008634E1" w:rsidRDefault="00000000">
      <w:pPr>
        <w:pStyle w:val="21"/>
        <w:rPr>
          <w:lang w:val="ru-RU"/>
        </w:rPr>
      </w:pPr>
      <w:r w:rsidRPr="008634E1">
        <w:rPr>
          <w:rFonts w:ascii="Times New Roman" w:hAnsi="Times New Roman"/>
          <w:lang w:val="ru-RU"/>
        </w:rPr>
        <w:t>Оценка методологии</w:t>
      </w:r>
    </w:p>
    <w:p w14:paraId="346C3B82" w14:textId="77777777" w:rsidR="005256DC" w:rsidRPr="008634E1" w:rsidRDefault="00000000">
      <w:pPr>
        <w:pStyle w:val="31"/>
        <w:rPr>
          <w:lang w:val="ru-RU"/>
        </w:rPr>
      </w:pPr>
      <w:r w:rsidRPr="008634E1">
        <w:rPr>
          <w:rFonts w:ascii="Times New Roman" w:hAnsi="Times New Roman"/>
          <w:lang w:val="ru-RU"/>
        </w:rPr>
        <w:t>Характеристики выборок и метод отбора</w:t>
      </w:r>
    </w:p>
    <w:p w14:paraId="3733B9CD" w14:textId="77777777" w:rsidR="005256DC" w:rsidRPr="008634E1" w:rsidRDefault="00000000">
      <w:pPr>
        <w:spacing w:after="120"/>
        <w:rPr>
          <w:lang w:val="ru-RU"/>
        </w:rPr>
      </w:pPr>
      <w:r w:rsidRPr="008634E1">
        <w:rPr>
          <w:lang w:val="ru-RU"/>
        </w:rPr>
        <w:t>Во всех исследованиях использовались удобные выборки. В общей сложности в 20 исследованиях были проанализированы данные 12 899 участников (без учёта дублирующихся выборок). В большинстве исследований (</w:t>
      </w:r>
      <w:r>
        <w:t>k</w:t>
      </w:r>
      <w:r w:rsidRPr="008634E1">
        <w:rPr>
          <w:lang w:val="ru-RU"/>
        </w:rPr>
        <w:t>=18) применялся поперечный дизайн, тогда как в двух использовались лонгитюдные данные (длительностью от 18 месяцев до 2 лет).</w:t>
      </w:r>
    </w:p>
    <w:p w14:paraId="566BC390" w14:textId="77777777" w:rsidR="005256DC" w:rsidRPr="008634E1" w:rsidRDefault="00000000">
      <w:pPr>
        <w:spacing w:after="120"/>
        <w:rPr>
          <w:lang w:val="ru-RU"/>
        </w:rPr>
      </w:pPr>
      <w:r w:rsidRPr="008634E1">
        <w:rPr>
          <w:lang w:val="ru-RU"/>
        </w:rPr>
        <w:t xml:space="preserve">В 15 исследованиях (75%) участниками были взрослые (18 лет и старше). Среди взрослых участников только в двух исследованиях изучалось проблемное видеоигровое поведение, тогда как остальные 13 были сосредоточены на гемблинге. Все исследования с участием детей и подростков касались видеоигр, причём в одном из них одновременно анализировались и видеоигры, и азартные игры. Следовательно, на данный момент нельзя оценить возрастные различия в связи между </w:t>
      </w:r>
      <w:r>
        <w:t>ER</w:t>
      </w:r>
      <w:r w:rsidRPr="008634E1">
        <w:rPr>
          <w:lang w:val="ru-RU"/>
        </w:rPr>
        <w:t xml:space="preserve"> и </w:t>
      </w:r>
      <w:r>
        <w:t>GD</w:t>
      </w:r>
      <w:r w:rsidRPr="008634E1">
        <w:rPr>
          <w:lang w:val="ru-RU"/>
        </w:rPr>
        <w:t xml:space="preserve"> или </w:t>
      </w:r>
      <w:r>
        <w:t>IGD</w:t>
      </w:r>
      <w:r w:rsidRPr="008634E1">
        <w:rPr>
          <w:lang w:val="ru-RU"/>
        </w:rPr>
        <w:t>. Лишь в небольшом числе исследований (25%) выборки включали сопоставимые доли мужчин и женщин. Так, 45% исследований основывались на выборках, где доля женщин была меньше 40%, а в шести исследованиях выборки состояли исключительно из мужчин. Во всех исследованиях использовались самоотчётные методики.</w:t>
      </w:r>
    </w:p>
    <w:p w14:paraId="7F3A6032" w14:textId="77777777" w:rsidR="005256DC" w:rsidRPr="008634E1" w:rsidRDefault="00000000">
      <w:pPr>
        <w:pStyle w:val="31"/>
        <w:rPr>
          <w:lang w:val="ru-RU"/>
        </w:rPr>
      </w:pPr>
      <w:r w:rsidRPr="008634E1">
        <w:rPr>
          <w:rFonts w:ascii="Times New Roman" w:hAnsi="Times New Roman"/>
          <w:lang w:val="ru-RU"/>
        </w:rPr>
        <w:t>Показатели поведенческих аддикций</w:t>
      </w:r>
    </w:p>
    <w:p w14:paraId="7D896C26" w14:textId="77777777" w:rsidR="005256DC" w:rsidRPr="008634E1" w:rsidRDefault="00000000">
      <w:pPr>
        <w:spacing w:after="120"/>
        <w:rPr>
          <w:lang w:val="ru-RU"/>
        </w:rPr>
      </w:pPr>
      <w:r w:rsidRPr="008634E1">
        <w:rPr>
          <w:lang w:val="ru-RU"/>
        </w:rPr>
        <w:t>Во всех включённых исследованиях (</w:t>
      </w:r>
      <w:r>
        <w:t>k</w:t>
      </w:r>
      <w:r w:rsidRPr="008634E1">
        <w:rPr>
          <w:lang w:val="ru-RU"/>
        </w:rPr>
        <w:t xml:space="preserve">=20) применялись те или иные самоотчётные методы оценки проблемного уровня поведенческой аддикции (азартные игры/видеоигры), например </w:t>
      </w:r>
      <w:r>
        <w:t>Canadian</w:t>
      </w:r>
      <w:r w:rsidRPr="008634E1">
        <w:rPr>
          <w:lang w:val="ru-RU"/>
        </w:rPr>
        <w:t xml:space="preserve"> </w:t>
      </w:r>
      <w:r>
        <w:t>Problem</w:t>
      </w:r>
      <w:r w:rsidRPr="008634E1">
        <w:rPr>
          <w:lang w:val="ru-RU"/>
        </w:rPr>
        <w:t xml:space="preserve"> </w:t>
      </w:r>
      <w:r>
        <w:t>Gambling</w:t>
      </w:r>
      <w:r w:rsidRPr="008634E1">
        <w:rPr>
          <w:lang w:val="ru-RU"/>
        </w:rPr>
        <w:t xml:space="preserve"> </w:t>
      </w:r>
      <w:r>
        <w:t>Index</w:t>
      </w:r>
      <w:r w:rsidRPr="008634E1">
        <w:rPr>
          <w:lang w:val="ru-RU"/>
        </w:rPr>
        <w:t xml:space="preserve">, </w:t>
      </w:r>
      <w:r>
        <w:t>South</w:t>
      </w:r>
      <w:r w:rsidRPr="008634E1">
        <w:rPr>
          <w:lang w:val="ru-RU"/>
        </w:rPr>
        <w:t xml:space="preserve"> </w:t>
      </w:r>
      <w:r>
        <w:t>Oaks</w:t>
      </w:r>
      <w:r w:rsidRPr="008634E1">
        <w:rPr>
          <w:lang w:val="ru-RU"/>
        </w:rPr>
        <w:t xml:space="preserve"> </w:t>
      </w:r>
      <w:r>
        <w:t>Gambling</w:t>
      </w:r>
      <w:r w:rsidRPr="008634E1">
        <w:rPr>
          <w:lang w:val="ru-RU"/>
        </w:rPr>
        <w:t xml:space="preserve"> </w:t>
      </w:r>
      <w:r>
        <w:t>Screen</w:t>
      </w:r>
      <w:r w:rsidRPr="008634E1">
        <w:rPr>
          <w:lang w:val="ru-RU"/>
        </w:rPr>
        <w:t xml:space="preserve"> или </w:t>
      </w:r>
      <w:r>
        <w:t>Pathological</w:t>
      </w:r>
      <w:r w:rsidRPr="008634E1">
        <w:rPr>
          <w:lang w:val="ru-RU"/>
        </w:rPr>
        <w:t xml:space="preserve"> </w:t>
      </w:r>
      <w:r>
        <w:t>Video</w:t>
      </w:r>
      <w:r w:rsidRPr="008634E1">
        <w:rPr>
          <w:lang w:val="ru-RU"/>
        </w:rPr>
        <w:t xml:space="preserve"> </w:t>
      </w:r>
      <w:r>
        <w:t>Game</w:t>
      </w:r>
      <w:r w:rsidRPr="008634E1">
        <w:rPr>
          <w:lang w:val="ru-RU"/>
        </w:rPr>
        <w:t xml:space="preserve"> </w:t>
      </w:r>
      <w:r>
        <w:t>Use</w:t>
      </w:r>
      <w:r w:rsidRPr="008634E1">
        <w:rPr>
          <w:lang w:val="ru-RU"/>
        </w:rPr>
        <w:t xml:space="preserve"> </w:t>
      </w:r>
      <w:r>
        <w:t>Questionnaire</w:t>
      </w:r>
      <w:r w:rsidRPr="008634E1">
        <w:rPr>
          <w:lang w:val="ru-RU"/>
        </w:rPr>
        <w:t xml:space="preserve">. В трёх исследованиях наряду с самоотчётными опросниками </w:t>
      </w:r>
      <w:r w:rsidRPr="008634E1">
        <w:rPr>
          <w:lang w:val="ru-RU"/>
        </w:rPr>
        <w:lastRenderedPageBreak/>
        <w:t xml:space="preserve">использовались и другие способы оценки поведенческой аддикции: в двух применялось клиническое диагностическое интервью для оценки гемблинга [28,29], тогда как </w:t>
      </w:r>
      <w:r>
        <w:t>Ciccarelli</w:t>
      </w:r>
      <w:r w:rsidRPr="008634E1">
        <w:rPr>
          <w:lang w:val="ru-RU"/>
        </w:rPr>
        <w:t xml:space="preserve"> </w:t>
      </w:r>
      <w:r>
        <w:t>et</w:t>
      </w:r>
      <w:r w:rsidRPr="008634E1">
        <w:rPr>
          <w:lang w:val="ru-RU"/>
        </w:rPr>
        <w:t xml:space="preserve"> </w:t>
      </w:r>
      <w:r>
        <w:t>al</w:t>
      </w:r>
      <w:r w:rsidRPr="008634E1">
        <w:rPr>
          <w:lang w:val="ru-RU"/>
        </w:rPr>
        <w:t xml:space="preserve">. [30] использовали модифицированную версию задачи </w:t>
      </w:r>
      <w:r>
        <w:t>Posner</w:t>
      </w:r>
      <w:r w:rsidRPr="008634E1">
        <w:rPr>
          <w:lang w:val="ru-RU"/>
        </w:rPr>
        <w:t xml:space="preserve"> в качестве поведенческого показателя проблемного гемблинга. Ранее задача </w:t>
      </w:r>
      <w:r>
        <w:t>Posner</w:t>
      </w:r>
      <w:r w:rsidRPr="008634E1">
        <w:rPr>
          <w:lang w:val="ru-RU"/>
        </w:rPr>
        <w:t xml:space="preserve"> уже применялась для оценки </w:t>
      </w:r>
      <w:r>
        <w:t>GD</w:t>
      </w:r>
      <w:r w:rsidRPr="008634E1">
        <w:rPr>
          <w:lang w:val="ru-RU"/>
        </w:rPr>
        <w:t xml:space="preserve"> посредством анализа того, проявляют ли участники смещение внимания к «связанным с гемблингом» изображениям по сравнению с «нейтральными».</w:t>
      </w:r>
    </w:p>
    <w:p w14:paraId="1C06F61A" w14:textId="77777777" w:rsidR="005256DC" w:rsidRPr="008634E1" w:rsidRDefault="00000000">
      <w:pPr>
        <w:pStyle w:val="31"/>
        <w:rPr>
          <w:lang w:val="ru-RU"/>
        </w:rPr>
      </w:pPr>
      <w:r w:rsidRPr="008634E1">
        <w:rPr>
          <w:rFonts w:ascii="Times New Roman" w:hAnsi="Times New Roman"/>
          <w:lang w:val="ru-RU"/>
        </w:rPr>
        <w:t>Показатели регуляции эмоций</w:t>
      </w:r>
    </w:p>
    <w:p w14:paraId="521C0681" w14:textId="77777777" w:rsidR="005256DC" w:rsidRPr="008634E1" w:rsidRDefault="00000000">
      <w:pPr>
        <w:spacing w:after="120"/>
        <w:rPr>
          <w:lang w:val="ru-RU"/>
        </w:rPr>
      </w:pPr>
      <w:r w:rsidRPr="008634E1">
        <w:rPr>
          <w:lang w:val="ru-RU"/>
        </w:rPr>
        <w:t>Во всех исследованиях (</w:t>
      </w:r>
      <w:r>
        <w:t>k</w:t>
      </w:r>
      <w:r w:rsidRPr="008634E1">
        <w:rPr>
          <w:lang w:val="ru-RU"/>
        </w:rPr>
        <w:t xml:space="preserve">=20) использовались самоотчётные показатели </w:t>
      </w:r>
      <w:r>
        <w:t>ER</w:t>
      </w:r>
      <w:r w:rsidRPr="008634E1">
        <w:rPr>
          <w:lang w:val="ru-RU"/>
        </w:rPr>
        <w:t xml:space="preserve">. В двенадцати работах </w:t>
      </w:r>
      <w:r>
        <w:t>ER</w:t>
      </w:r>
      <w:r w:rsidRPr="008634E1">
        <w:rPr>
          <w:lang w:val="ru-RU"/>
        </w:rPr>
        <w:t xml:space="preserve"> оценивалась с помощью опросника, охватывающего все принципы </w:t>
      </w:r>
      <w:r>
        <w:t>ER</w:t>
      </w:r>
      <w:r w:rsidRPr="008634E1">
        <w:rPr>
          <w:lang w:val="ru-RU"/>
        </w:rPr>
        <w:t xml:space="preserve"> (например, </w:t>
      </w:r>
      <w:r>
        <w:t>Difficulty</w:t>
      </w:r>
      <w:r w:rsidRPr="008634E1">
        <w:rPr>
          <w:lang w:val="ru-RU"/>
        </w:rPr>
        <w:t xml:space="preserve"> </w:t>
      </w:r>
      <w:r>
        <w:t>in</w:t>
      </w:r>
      <w:r w:rsidRPr="008634E1">
        <w:rPr>
          <w:lang w:val="ru-RU"/>
        </w:rPr>
        <w:t xml:space="preserve"> </w:t>
      </w:r>
      <w:r>
        <w:t>Emotion</w:t>
      </w:r>
      <w:r w:rsidRPr="008634E1">
        <w:rPr>
          <w:lang w:val="ru-RU"/>
        </w:rPr>
        <w:t xml:space="preserve"> </w:t>
      </w:r>
      <w:r>
        <w:t>Regulation</w:t>
      </w:r>
      <w:r w:rsidRPr="008634E1">
        <w:rPr>
          <w:lang w:val="ru-RU"/>
        </w:rPr>
        <w:t xml:space="preserve"> </w:t>
      </w:r>
      <w:r>
        <w:t>Scale</w:t>
      </w:r>
      <w:r w:rsidRPr="008634E1">
        <w:rPr>
          <w:lang w:val="ru-RU"/>
        </w:rPr>
        <w:t xml:space="preserve">), либо с помощью </w:t>
      </w:r>
      <w:r>
        <w:t>ER</w:t>
      </w:r>
      <w:r w:rsidRPr="008634E1">
        <w:rPr>
          <w:lang w:val="ru-RU"/>
        </w:rPr>
        <w:t xml:space="preserve">-подшкалы более широкой методики (например, </w:t>
      </w:r>
      <w:r>
        <w:t>Personal</w:t>
      </w:r>
      <w:r w:rsidRPr="008634E1">
        <w:rPr>
          <w:lang w:val="ru-RU"/>
        </w:rPr>
        <w:t xml:space="preserve"> </w:t>
      </w:r>
      <w:r>
        <w:t>Strengths</w:t>
      </w:r>
      <w:r w:rsidRPr="008634E1">
        <w:rPr>
          <w:lang w:val="ru-RU"/>
        </w:rPr>
        <w:t xml:space="preserve"> </w:t>
      </w:r>
      <w:r>
        <w:t>Inventory</w:t>
      </w:r>
      <w:r w:rsidRPr="008634E1">
        <w:rPr>
          <w:lang w:val="ru-RU"/>
        </w:rPr>
        <w:t xml:space="preserve">). В остальных работах оценивались отдельные </w:t>
      </w:r>
      <w:r>
        <w:t>ER</w:t>
      </w:r>
      <w:r w:rsidRPr="008634E1">
        <w:rPr>
          <w:lang w:val="ru-RU"/>
        </w:rPr>
        <w:t xml:space="preserve">-стратегии. Семь исследований измеряли уровни экспрессивное подавление, когнитивная переоценка, </w:t>
      </w:r>
      <w:r>
        <w:t>adjusting</w:t>
      </w:r>
      <w:r w:rsidRPr="008634E1">
        <w:rPr>
          <w:lang w:val="ru-RU"/>
        </w:rPr>
        <w:t xml:space="preserve">, </w:t>
      </w:r>
      <w:r>
        <w:t>tolerating</w:t>
      </w:r>
      <w:r w:rsidRPr="008634E1">
        <w:rPr>
          <w:lang w:val="ru-RU"/>
        </w:rPr>
        <w:t xml:space="preserve"> и </w:t>
      </w:r>
      <w:r>
        <w:t>concealing</w:t>
      </w:r>
      <w:r w:rsidRPr="008634E1">
        <w:rPr>
          <w:lang w:val="ru-RU"/>
        </w:rPr>
        <w:t xml:space="preserve"> (</w:t>
      </w:r>
      <w:r>
        <w:t>Emotion</w:t>
      </w:r>
      <w:r w:rsidRPr="008634E1">
        <w:rPr>
          <w:lang w:val="ru-RU"/>
        </w:rPr>
        <w:t xml:space="preserve"> </w:t>
      </w:r>
      <w:r>
        <w:t>Regulation</w:t>
      </w:r>
      <w:r w:rsidRPr="008634E1">
        <w:rPr>
          <w:lang w:val="ru-RU"/>
        </w:rPr>
        <w:t xml:space="preserve"> </w:t>
      </w:r>
      <w:r>
        <w:t>Questionnaire</w:t>
      </w:r>
      <w:r w:rsidRPr="008634E1">
        <w:rPr>
          <w:lang w:val="ru-RU"/>
        </w:rPr>
        <w:t xml:space="preserve">, </w:t>
      </w:r>
      <w:r>
        <w:t>Affective</w:t>
      </w:r>
      <w:r w:rsidRPr="008634E1">
        <w:rPr>
          <w:lang w:val="ru-RU"/>
        </w:rPr>
        <w:t xml:space="preserve"> </w:t>
      </w:r>
      <w:r>
        <w:t>Style</w:t>
      </w:r>
      <w:r w:rsidRPr="008634E1">
        <w:rPr>
          <w:lang w:val="ru-RU"/>
        </w:rPr>
        <w:t xml:space="preserve"> </w:t>
      </w:r>
      <w:r>
        <w:t>Questionnaire</w:t>
      </w:r>
      <w:r w:rsidRPr="008634E1">
        <w:rPr>
          <w:lang w:val="ru-RU"/>
        </w:rPr>
        <w:t xml:space="preserve"> или опросник когнитивных </w:t>
      </w:r>
      <w:r>
        <w:t>ER</w:t>
      </w:r>
      <w:r w:rsidRPr="008634E1">
        <w:rPr>
          <w:lang w:val="ru-RU"/>
        </w:rPr>
        <w:t xml:space="preserve">-стратегий — </w:t>
      </w:r>
      <w:r>
        <w:t>Cognitive</w:t>
      </w:r>
      <w:r w:rsidRPr="008634E1">
        <w:rPr>
          <w:lang w:val="ru-RU"/>
        </w:rPr>
        <w:t xml:space="preserve"> </w:t>
      </w:r>
      <w:r>
        <w:t>Emotion</w:t>
      </w:r>
      <w:r w:rsidRPr="008634E1">
        <w:rPr>
          <w:lang w:val="ru-RU"/>
        </w:rPr>
        <w:t xml:space="preserve"> </w:t>
      </w:r>
      <w:r>
        <w:t>Regulation</w:t>
      </w:r>
      <w:r w:rsidRPr="008634E1">
        <w:rPr>
          <w:lang w:val="ru-RU"/>
        </w:rPr>
        <w:t xml:space="preserve"> </w:t>
      </w:r>
      <w:r>
        <w:t>Questionnaire</w:t>
      </w:r>
      <w:r w:rsidRPr="008634E1">
        <w:rPr>
          <w:lang w:val="ru-RU"/>
        </w:rPr>
        <w:t>).</w:t>
      </w:r>
    </w:p>
    <w:p w14:paraId="18327282" w14:textId="77777777" w:rsidR="005256DC" w:rsidRPr="008634E1" w:rsidRDefault="00000000">
      <w:pPr>
        <w:pStyle w:val="31"/>
        <w:rPr>
          <w:lang w:val="ru-RU"/>
        </w:rPr>
      </w:pPr>
      <w:r w:rsidRPr="008634E1">
        <w:rPr>
          <w:rFonts w:ascii="Times New Roman" w:hAnsi="Times New Roman"/>
          <w:lang w:val="ru-RU"/>
        </w:rPr>
        <w:t>Синтез результатов</w:t>
      </w:r>
    </w:p>
    <w:p w14:paraId="625FB16D" w14:textId="77777777" w:rsidR="005256DC" w:rsidRPr="008634E1" w:rsidRDefault="00000000">
      <w:pPr>
        <w:spacing w:after="120"/>
        <w:rPr>
          <w:lang w:val="ru-RU"/>
        </w:rPr>
      </w:pPr>
      <w:r w:rsidRPr="008634E1">
        <w:rPr>
          <w:lang w:val="ru-RU"/>
        </w:rPr>
        <w:t xml:space="preserve">Показатели величины эффекта варьировали между исследованиями, причём в ряде работ сами величины эффекта не приводились. Если величина эффекта отсутствовала, её по возможности оценивали на основе представленных результатов статистических тестов (корреляций, </w:t>
      </w:r>
      <w:r>
        <w:t>t</w:t>
      </w:r>
      <w:r w:rsidRPr="008634E1">
        <w:rPr>
          <w:lang w:val="ru-RU"/>
        </w:rPr>
        <w:t xml:space="preserve">-критерия, </w:t>
      </w:r>
      <w:r>
        <w:t>F</w:t>
      </w:r>
      <w:r w:rsidRPr="008634E1">
        <w:rPr>
          <w:lang w:val="ru-RU"/>
        </w:rPr>
        <w:t xml:space="preserve">-критерия, средних значений и </w:t>
      </w:r>
      <w:r>
        <w:t>SD</w:t>
      </w:r>
      <w:r w:rsidRPr="008634E1">
        <w:rPr>
          <w:lang w:val="ru-RU"/>
        </w:rPr>
        <w:t xml:space="preserve">) с помощью калькулятора величины эффекта [31]. Когда данные публикации не позволяли выполнить этот расчёт, авторам соответствующих работ направлялись запросы для получения необходимой информации. Затем величины эффекта переводились в стандартизированную величину эффекта </w:t>
      </w:r>
      <w:r>
        <w:t>d</w:t>
      </w:r>
      <w:r w:rsidRPr="008634E1">
        <w:rPr>
          <w:lang w:val="ru-RU"/>
        </w:rPr>
        <w:t xml:space="preserve"> Коэна с помощью формул преобразования [32,33]. В соответствии с предложением Коэна [33], значения </w:t>
      </w:r>
      <w:r>
        <w:t>d</w:t>
      </w:r>
      <w:r w:rsidRPr="008634E1">
        <w:rPr>
          <w:lang w:val="ru-RU"/>
        </w:rPr>
        <w:t xml:space="preserve"> интерпретировались так: 0,20 — малый эффект, 0,50 — средний, 0,80 и более — большой.</w:t>
      </w:r>
    </w:p>
    <w:p w14:paraId="0C269863" w14:textId="77777777" w:rsidR="005256DC" w:rsidRPr="008634E1" w:rsidRDefault="00000000">
      <w:pPr>
        <w:pStyle w:val="31"/>
        <w:rPr>
          <w:lang w:val="ru-RU"/>
        </w:rPr>
      </w:pPr>
      <w:r w:rsidRPr="008634E1">
        <w:rPr>
          <w:rFonts w:ascii="Times New Roman" w:hAnsi="Times New Roman"/>
          <w:lang w:val="ru-RU"/>
        </w:rPr>
        <w:t>Регуляция эмоций и проблемное азартное поведение</w:t>
      </w:r>
    </w:p>
    <w:p w14:paraId="3FB0D61F" w14:textId="77777777" w:rsidR="005256DC" w:rsidRPr="008634E1" w:rsidRDefault="00000000">
      <w:pPr>
        <w:spacing w:after="120"/>
        <w:rPr>
          <w:lang w:val="ru-RU"/>
        </w:rPr>
      </w:pPr>
      <w:r w:rsidRPr="008634E1">
        <w:rPr>
          <w:lang w:val="ru-RU"/>
        </w:rPr>
        <w:t xml:space="preserve">Из 14 опубликованных статей, изучавших связь между </w:t>
      </w:r>
      <w:r>
        <w:t>ER</w:t>
      </w:r>
      <w:r w:rsidRPr="008634E1">
        <w:rPr>
          <w:lang w:val="ru-RU"/>
        </w:rPr>
        <w:t xml:space="preserve"> и проблемным гемблингом, в двух не было обнаружено значимых результатов. </w:t>
      </w:r>
      <w:r>
        <w:t>Barrault</w:t>
      </w:r>
      <w:r w:rsidRPr="008634E1">
        <w:rPr>
          <w:lang w:val="ru-RU"/>
        </w:rPr>
        <w:t xml:space="preserve"> </w:t>
      </w:r>
      <w:r>
        <w:t>et</w:t>
      </w:r>
      <w:r w:rsidRPr="008634E1">
        <w:rPr>
          <w:lang w:val="ru-RU"/>
        </w:rPr>
        <w:t xml:space="preserve"> </w:t>
      </w:r>
      <w:r>
        <w:t>al</w:t>
      </w:r>
      <w:r w:rsidRPr="008634E1">
        <w:rPr>
          <w:lang w:val="ru-RU"/>
        </w:rPr>
        <w:t xml:space="preserve">. [34] не выявили значимых различий в </w:t>
      </w:r>
      <w:r>
        <w:t>ER</w:t>
      </w:r>
      <w:r w:rsidRPr="008634E1">
        <w:rPr>
          <w:lang w:val="ru-RU"/>
        </w:rPr>
        <w:t xml:space="preserve">-стратегиях (когнитивная переоценка и экспрессивное подавление) у проблемных игроков в выборке игроков в покер. Кроме того, </w:t>
      </w:r>
      <w:r>
        <w:t>Barrault</w:t>
      </w:r>
      <w:r w:rsidRPr="008634E1">
        <w:rPr>
          <w:lang w:val="ru-RU"/>
        </w:rPr>
        <w:t xml:space="preserve"> </w:t>
      </w:r>
      <w:r>
        <w:t>et</w:t>
      </w:r>
      <w:r w:rsidRPr="008634E1">
        <w:rPr>
          <w:lang w:val="ru-RU"/>
        </w:rPr>
        <w:t xml:space="preserve"> </w:t>
      </w:r>
      <w:r>
        <w:t>al</w:t>
      </w:r>
      <w:r w:rsidRPr="008634E1">
        <w:rPr>
          <w:lang w:val="ru-RU"/>
        </w:rPr>
        <w:t xml:space="preserve">. [35] вновь сообщили, что </w:t>
      </w:r>
      <w:r>
        <w:t>ER</w:t>
      </w:r>
      <w:r w:rsidRPr="008634E1">
        <w:rPr>
          <w:lang w:val="ru-RU"/>
        </w:rPr>
        <w:t xml:space="preserve">-стратегии не были связаны с </w:t>
      </w:r>
      <w:r>
        <w:t>GD</w:t>
      </w:r>
      <w:r w:rsidRPr="008634E1">
        <w:rPr>
          <w:lang w:val="ru-RU"/>
        </w:rPr>
        <w:t xml:space="preserve">, однако тип азартной игры выступал значимым модератором связи между использованием подавления как </w:t>
      </w:r>
      <w:r>
        <w:t>ER</w:t>
      </w:r>
      <w:r w:rsidRPr="008634E1">
        <w:rPr>
          <w:lang w:val="ru-RU"/>
        </w:rPr>
        <w:t xml:space="preserve">-стратегии и </w:t>
      </w:r>
      <w:r>
        <w:t>GD</w:t>
      </w:r>
      <w:r w:rsidRPr="008634E1">
        <w:rPr>
          <w:lang w:val="ru-RU"/>
        </w:rPr>
        <w:t>: эффект экспрессивное подавление был выше у стратегических игроков по сравнению с игроками смешанного типа.</w:t>
      </w:r>
    </w:p>
    <w:p w14:paraId="7E133A06" w14:textId="77777777" w:rsidR="005256DC" w:rsidRPr="008634E1" w:rsidRDefault="00000000">
      <w:pPr>
        <w:spacing w:after="120"/>
        <w:rPr>
          <w:lang w:val="ru-RU"/>
        </w:rPr>
      </w:pPr>
      <w:r w:rsidRPr="008634E1">
        <w:rPr>
          <w:lang w:val="ru-RU"/>
        </w:rPr>
        <w:t xml:space="preserve">Четыре исследования (29%) сообщили о больших величинах эффекта. В частности, </w:t>
      </w:r>
      <w:r>
        <w:t>Elmas</w:t>
      </w:r>
      <w:r w:rsidRPr="008634E1">
        <w:rPr>
          <w:lang w:val="ru-RU"/>
        </w:rPr>
        <w:t xml:space="preserve"> </w:t>
      </w:r>
      <w:r>
        <w:t>et</w:t>
      </w:r>
      <w:r w:rsidRPr="008634E1">
        <w:rPr>
          <w:lang w:val="ru-RU"/>
        </w:rPr>
        <w:t xml:space="preserve"> </w:t>
      </w:r>
      <w:r>
        <w:t>al</w:t>
      </w:r>
      <w:r w:rsidRPr="008634E1">
        <w:rPr>
          <w:lang w:val="ru-RU"/>
        </w:rPr>
        <w:t xml:space="preserve">. [36], </w:t>
      </w:r>
      <w:r>
        <w:t>Jauregui</w:t>
      </w:r>
      <w:r w:rsidRPr="008634E1">
        <w:rPr>
          <w:lang w:val="ru-RU"/>
        </w:rPr>
        <w:t xml:space="preserve"> </w:t>
      </w:r>
      <w:r>
        <w:t>et</w:t>
      </w:r>
      <w:r w:rsidRPr="008634E1">
        <w:rPr>
          <w:lang w:val="ru-RU"/>
        </w:rPr>
        <w:t xml:space="preserve"> </w:t>
      </w:r>
      <w:r>
        <w:t>al</w:t>
      </w:r>
      <w:r w:rsidRPr="008634E1">
        <w:rPr>
          <w:lang w:val="ru-RU"/>
        </w:rPr>
        <w:t xml:space="preserve">. [37] и </w:t>
      </w:r>
      <w:r>
        <w:t>Williams</w:t>
      </w:r>
      <w:r w:rsidRPr="008634E1">
        <w:rPr>
          <w:lang w:val="ru-RU"/>
        </w:rPr>
        <w:t xml:space="preserve"> </w:t>
      </w:r>
      <w:r>
        <w:t>et</w:t>
      </w:r>
      <w:r w:rsidRPr="008634E1">
        <w:rPr>
          <w:lang w:val="ru-RU"/>
        </w:rPr>
        <w:t xml:space="preserve"> </w:t>
      </w:r>
      <w:r>
        <w:t>al</w:t>
      </w:r>
      <w:r w:rsidRPr="008634E1">
        <w:rPr>
          <w:lang w:val="ru-RU"/>
        </w:rPr>
        <w:t>. [28] показали, что более высокие показатели эмоциональной дисрегуляции были связаны с более выраженным проблемным гемблингом (</w:t>
      </w:r>
      <w:r>
        <w:t>d</w:t>
      </w:r>
      <w:r w:rsidRPr="008634E1">
        <w:rPr>
          <w:lang w:val="ru-RU"/>
        </w:rPr>
        <w:t xml:space="preserve"> Коэна = 0,90-1,02). </w:t>
      </w:r>
      <w:r>
        <w:t>Navas</w:t>
      </w:r>
      <w:r w:rsidRPr="008634E1">
        <w:rPr>
          <w:lang w:val="ru-RU"/>
        </w:rPr>
        <w:t xml:space="preserve"> </w:t>
      </w:r>
      <w:r>
        <w:t>et</w:t>
      </w:r>
      <w:r w:rsidRPr="008634E1">
        <w:rPr>
          <w:lang w:val="ru-RU"/>
        </w:rPr>
        <w:t xml:space="preserve"> </w:t>
      </w:r>
      <w:r>
        <w:t>al</w:t>
      </w:r>
      <w:r w:rsidRPr="008634E1">
        <w:rPr>
          <w:lang w:val="ru-RU"/>
        </w:rPr>
        <w:t xml:space="preserve">. [38] сообщили о большом эффекте между дезадаптивными </w:t>
      </w:r>
      <w:r>
        <w:t>ER</w:t>
      </w:r>
      <w:r w:rsidRPr="008634E1">
        <w:rPr>
          <w:lang w:val="ru-RU"/>
        </w:rPr>
        <w:t>-стратегиями (катастрофизация и самообвинение) и проблемным гемблингом (</w:t>
      </w:r>
      <w:r>
        <w:t>d</w:t>
      </w:r>
      <w:r w:rsidRPr="008634E1">
        <w:rPr>
          <w:lang w:val="ru-RU"/>
        </w:rPr>
        <w:t xml:space="preserve"> Коэна = 0,91 и 1,37). Шесть исследований (43%) продемонстрировали средние величины эффекта: в четырёх </w:t>
      </w:r>
      <w:r w:rsidRPr="008634E1">
        <w:rPr>
          <w:lang w:val="ru-RU"/>
        </w:rPr>
        <w:lastRenderedPageBreak/>
        <w:t>из них более выраженная эмоциональная дисрегуляция была связана с более высоким уровнем проблемного гемблинга (</w:t>
      </w:r>
      <w:r>
        <w:t>d</w:t>
      </w:r>
      <w:r w:rsidRPr="008634E1">
        <w:rPr>
          <w:lang w:val="ru-RU"/>
        </w:rPr>
        <w:t xml:space="preserve"> Коэна = 0,50-0,70) [30,39-42]. Ещё в двух исследованиях сообщалось, что у проблемных игроков уровень когнитивная переоценка был значимо ниже по сравнению с игроками низкого риска (</w:t>
      </w:r>
      <w:r>
        <w:t>d</w:t>
      </w:r>
      <w:r w:rsidRPr="008634E1">
        <w:rPr>
          <w:lang w:val="ru-RU"/>
        </w:rPr>
        <w:t xml:space="preserve"> Коэна = 0,71) [43], а уровень экспрессивное подавление — значимо выше по сравнению со здоровыми контролями (</w:t>
      </w:r>
      <w:r>
        <w:t>d</w:t>
      </w:r>
      <w:r w:rsidRPr="008634E1">
        <w:rPr>
          <w:lang w:val="ru-RU"/>
        </w:rPr>
        <w:t xml:space="preserve"> Коэна = 0,50) [39]. Наконец, в двух исследованиях (14%) были получены малые величины эффекта: одно исследование выявило значимую связь между проблемным гемблингом и более высоким уровнем эмоциональной дисрегуляции (</w:t>
      </w:r>
      <w:r>
        <w:t>d</w:t>
      </w:r>
      <w:r w:rsidRPr="008634E1">
        <w:rPr>
          <w:lang w:val="ru-RU"/>
        </w:rPr>
        <w:t xml:space="preserve"> Коэна = 0,30) [44], тогда как </w:t>
      </w:r>
      <w:r>
        <w:t>Orlowski</w:t>
      </w:r>
      <w:r w:rsidRPr="008634E1">
        <w:rPr>
          <w:lang w:val="ru-RU"/>
        </w:rPr>
        <w:t xml:space="preserve"> </w:t>
      </w:r>
      <w:r>
        <w:t>et</w:t>
      </w:r>
      <w:r w:rsidRPr="008634E1">
        <w:rPr>
          <w:lang w:val="ru-RU"/>
        </w:rPr>
        <w:t xml:space="preserve"> </w:t>
      </w:r>
      <w:r>
        <w:t>al</w:t>
      </w:r>
      <w:r w:rsidRPr="008634E1">
        <w:rPr>
          <w:lang w:val="ru-RU"/>
        </w:rPr>
        <w:t xml:space="preserve">. [45] сообщили об отрицательной связи между проблемным гемблингом и </w:t>
      </w:r>
      <w:r>
        <w:t>adjusting</w:t>
      </w:r>
      <w:r w:rsidRPr="008634E1">
        <w:rPr>
          <w:lang w:val="ru-RU"/>
        </w:rPr>
        <w:t xml:space="preserve"> (</w:t>
      </w:r>
      <w:r>
        <w:t>d</w:t>
      </w:r>
      <w:r w:rsidRPr="008634E1">
        <w:rPr>
          <w:lang w:val="ru-RU"/>
        </w:rPr>
        <w:t xml:space="preserve"> Коэна = -0,12) и о положительной связи между проблемным гемблингом и </w:t>
      </w:r>
      <w:r>
        <w:t>concealing</w:t>
      </w:r>
      <w:r w:rsidRPr="008634E1">
        <w:rPr>
          <w:lang w:val="ru-RU"/>
        </w:rPr>
        <w:t xml:space="preserve"> (</w:t>
      </w:r>
      <w:r>
        <w:t>d</w:t>
      </w:r>
      <w:r w:rsidRPr="008634E1">
        <w:rPr>
          <w:lang w:val="ru-RU"/>
        </w:rPr>
        <w:t xml:space="preserve"> Коэна = 0,14).</w:t>
      </w:r>
    </w:p>
    <w:p w14:paraId="42A6056B" w14:textId="77777777" w:rsidR="005256DC" w:rsidRPr="008634E1" w:rsidRDefault="00000000">
      <w:pPr>
        <w:pStyle w:val="31"/>
        <w:rPr>
          <w:lang w:val="ru-RU"/>
        </w:rPr>
      </w:pPr>
      <w:r w:rsidRPr="008634E1">
        <w:rPr>
          <w:rFonts w:ascii="Times New Roman" w:hAnsi="Times New Roman"/>
          <w:lang w:val="ru-RU"/>
        </w:rPr>
        <w:t>Регуляция эмоций и проблемное видеоигровое поведение</w:t>
      </w:r>
    </w:p>
    <w:p w14:paraId="762AC2D8" w14:textId="77777777" w:rsidR="005256DC" w:rsidRPr="008634E1" w:rsidRDefault="00000000">
      <w:pPr>
        <w:spacing w:after="120"/>
        <w:rPr>
          <w:lang w:val="ru-RU"/>
        </w:rPr>
      </w:pPr>
      <w:r w:rsidRPr="008634E1">
        <w:rPr>
          <w:lang w:val="ru-RU"/>
        </w:rPr>
        <w:t xml:space="preserve">Из 7 исследований, изучавших связь между </w:t>
      </w:r>
      <w:r>
        <w:t>ER</w:t>
      </w:r>
      <w:r w:rsidRPr="008634E1">
        <w:rPr>
          <w:lang w:val="ru-RU"/>
        </w:rPr>
        <w:t xml:space="preserve"> и проблемным видеоигровым поведением, в двух (29%) были получены большие величины эффекта, указывающие на то, что более выраженная эмоциональная дисрегуляция ведёт к усилению </w:t>
      </w:r>
      <w:r>
        <w:t>IGD</w:t>
      </w:r>
      <w:r w:rsidRPr="008634E1">
        <w:rPr>
          <w:lang w:val="ru-RU"/>
        </w:rPr>
        <w:t xml:space="preserve"> [46,47], а ещё в одном исследовании была получена средняя величина эффекта (</w:t>
      </w:r>
      <w:r>
        <w:t>d</w:t>
      </w:r>
      <w:r w:rsidRPr="008634E1">
        <w:rPr>
          <w:lang w:val="ru-RU"/>
        </w:rPr>
        <w:t xml:space="preserve"> Коэна = 0,60) [44].</w:t>
      </w:r>
    </w:p>
    <w:p w14:paraId="6181C4AA" w14:textId="77777777" w:rsidR="005256DC" w:rsidRPr="008634E1" w:rsidRDefault="00000000">
      <w:pPr>
        <w:spacing w:after="120"/>
        <w:rPr>
          <w:lang w:val="ru-RU"/>
        </w:rPr>
      </w:pPr>
      <w:r w:rsidRPr="008634E1">
        <w:rPr>
          <w:lang w:val="ru-RU"/>
        </w:rPr>
        <w:t xml:space="preserve">В четырёх исследованиях (57%) были получены малые величины эффекта: повышение уровня </w:t>
      </w:r>
      <w:r>
        <w:t>ER</w:t>
      </w:r>
      <w:r w:rsidRPr="008634E1">
        <w:rPr>
          <w:lang w:val="ru-RU"/>
        </w:rPr>
        <w:t xml:space="preserve"> было связано со снижением проблемного видеоигрового поведения (</w:t>
      </w:r>
      <w:r>
        <w:t>d</w:t>
      </w:r>
      <w:r w:rsidRPr="008634E1">
        <w:rPr>
          <w:lang w:val="ru-RU"/>
        </w:rPr>
        <w:t xml:space="preserve"> Коэна = 0,20; 0,29; 0,30) [48-50]. Наконец, </w:t>
      </w:r>
      <w:r>
        <w:t>Yen</w:t>
      </w:r>
      <w:r w:rsidRPr="008634E1">
        <w:rPr>
          <w:lang w:val="ru-RU"/>
        </w:rPr>
        <w:t xml:space="preserve"> </w:t>
      </w:r>
      <w:r>
        <w:t>et</w:t>
      </w:r>
      <w:r w:rsidRPr="008634E1">
        <w:rPr>
          <w:lang w:val="ru-RU"/>
        </w:rPr>
        <w:t xml:space="preserve"> </w:t>
      </w:r>
      <w:r>
        <w:t>al</w:t>
      </w:r>
      <w:r w:rsidRPr="008634E1">
        <w:rPr>
          <w:lang w:val="ru-RU"/>
        </w:rPr>
        <w:t xml:space="preserve">. [29] сообщили, что у участников группы </w:t>
      </w:r>
      <w:r>
        <w:t>IGD</w:t>
      </w:r>
      <w:r w:rsidRPr="008634E1">
        <w:rPr>
          <w:lang w:val="ru-RU"/>
        </w:rPr>
        <w:t xml:space="preserve"> были значимо более высокие показатели экспрессивное подавление (</w:t>
      </w:r>
      <w:r>
        <w:t>d</w:t>
      </w:r>
      <w:r w:rsidRPr="008634E1">
        <w:rPr>
          <w:lang w:val="ru-RU"/>
        </w:rPr>
        <w:t xml:space="preserve"> Коэна = 0,35) и более низкие показатели когнитивная переоценка (</w:t>
      </w:r>
      <w:r>
        <w:t>d</w:t>
      </w:r>
      <w:r w:rsidRPr="008634E1">
        <w:rPr>
          <w:lang w:val="ru-RU"/>
        </w:rPr>
        <w:t xml:space="preserve"> Коэна = 0,41) по сравнению со здоровыми контролями. В лонгитюдном исследовании </w:t>
      </w:r>
      <w:r>
        <w:t>Liau</w:t>
      </w:r>
      <w:r w:rsidRPr="008634E1">
        <w:rPr>
          <w:lang w:val="ru-RU"/>
        </w:rPr>
        <w:t xml:space="preserve"> </w:t>
      </w:r>
      <w:r>
        <w:t>et</w:t>
      </w:r>
      <w:r w:rsidRPr="008634E1">
        <w:rPr>
          <w:lang w:val="ru-RU"/>
        </w:rPr>
        <w:t xml:space="preserve"> </w:t>
      </w:r>
      <w:r>
        <w:t>al</w:t>
      </w:r>
      <w:r w:rsidRPr="008634E1">
        <w:rPr>
          <w:lang w:val="ru-RU"/>
        </w:rPr>
        <w:t xml:space="preserve">. [48] показали, что повышение </w:t>
      </w:r>
      <w:r>
        <w:t>ER</w:t>
      </w:r>
      <w:r w:rsidRPr="008634E1">
        <w:rPr>
          <w:lang w:val="ru-RU"/>
        </w:rPr>
        <w:t xml:space="preserve"> выступало защитным фактором по отношению к проблемному использованию видеоигр, тогда как импульсивность была фактором риска. </w:t>
      </w:r>
      <w:r>
        <w:t>Liu</w:t>
      </w:r>
      <w:r w:rsidRPr="008634E1">
        <w:rPr>
          <w:lang w:val="ru-RU"/>
        </w:rPr>
        <w:t xml:space="preserve"> </w:t>
      </w:r>
      <w:r>
        <w:t>et</w:t>
      </w:r>
      <w:r w:rsidRPr="008634E1">
        <w:rPr>
          <w:lang w:val="ru-RU"/>
        </w:rPr>
        <w:t xml:space="preserve"> </w:t>
      </w:r>
      <w:r>
        <w:t>al</w:t>
      </w:r>
      <w:r w:rsidRPr="008634E1">
        <w:rPr>
          <w:lang w:val="ru-RU"/>
        </w:rPr>
        <w:t xml:space="preserve">. [50] также сообщили, что социальная коммуникация предсказывала проблемное видеоигровое поведение как напрямую, так и косвенно — через последовательное опосредование </w:t>
      </w:r>
      <w:r>
        <w:t>ER</w:t>
      </w:r>
      <w:r w:rsidRPr="008634E1">
        <w:rPr>
          <w:lang w:val="ru-RU"/>
        </w:rPr>
        <w:t xml:space="preserve"> и школьной включённости.</w:t>
      </w:r>
    </w:p>
    <w:p w14:paraId="4A6292B0" w14:textId="77777777" w:rsidR="005256DC" w:rsidRPr="008634E1" w:rsidRDefault="00000000">
      <w:pPr>
        <w:pStyle w:val="1"/>
        <w:rPr>
          <w:lang w:val="ru-RU"/>
        </w:rPr>
      </w:pPr>
      <w:r w:rsidRPr="008634E1">
        <w:rPr>
          <w:rFonts w:ascii="Times New Roman" w:hAnsi="Times New Roman"/>
          <w:lang w:val="ru-RU"/>
        </w:rPr>
        <w:t>Обсуждение</w:t>
      </w:r>
    </w:p>
    <w:p w14:paraId="42A2371D" w14:textId="77777777" w:rsidR="005256DC" w:rsidRPr="008634E1" w:rsidRDefault="00000000">
      <w:pPr>
        <w:spacing w:after="120"/>
        <w:rPr>
          <w:lang w:val="ru-RU"/>
        </w:rPr>
      </w:pPr>
      <w:r w:rsidRPr="008634E1">
        <w:rPr>
          <w:lang w:val="ru-RU"/>
        </w:rPr>
        <w:t xml:space="preserve">В данном обзоре была рассмотрена связь между </w:t>
      </w:r>
      <w:r>
        <w:t>ER</w:t>
      </w:r>
      <w:r w:rsidRPr="008634E1">
        <w:rPr>
          <w:lang w:val="ru-RU"/>
        </w:rPr>
        <w:t xml:space="preserve"> и проблемным гемблингом и видеоиграми. В целом представленные данные подтверждают наличие связи между дефицитами </w:t>
      </w:r>
      <w:r>
        <w:t>ER</w:t>
      </w:r>
      <w:r w:rsidRPr="008634E1">
        <w:rPr>
          <w:lang w:val="ru-RU"/>
        </w:rPr>
        <w:t xml:space="preserve"> и поведенческими аддикциями как в детско-подростковых, так и во взрослых выборках. Восемнадцать исследований (90%) сообщили о статистически значимой связи между </w:t>
      </w:r>
      <w:r>
        <w:t>ER</w:t>
      </w:r>
      <w:r w:rsidRPr="008634E1">
        <w:rPr>
          <w:lang w:val="ru-RU"/>
        </w:rPr>
        <w:t xml:space="preserve"> и поведенческими аддикциями: менее адаптивная </w:t>
      </w:r>
      <w:r>
        <w:t>ER</w:t>
      </w:r>
      <w:r w:rsidRPr="008634E1">
        <w:rPr>
          <w:lang w:val="ru-RU"/>
        </w:rPr>
        <w:t xml:space="preserve"> была связана с усилением симптомов поведенческих аддикций. Более конкретно, в шести исследованиях были обнаружены большие величины эффекта (</w:t>
      </w:r>
      <w:r>
        <w:t>d</w:t>
      </w:r>
      <w:r w:rsidRPr="008634E1">
        <w:rPr>
          <w:lang w:val="ru-RU"/>
        </w:rPr>
        <w:t xml:space="preserve"> Коэна ≥ 0,80), а ещё в семи — средние величины эффекта (</w:t>
      </w:r>
      <w:r>
        <w:t>d</w:t>
      </w:r>
      <w:r w:rsidRPr="008634E1">
        <w:rPr>
          <w:lang w:val="ru-RU"/>
        </w:rPr>
        <w:t xml:space="preserve"> Коэна ≥ 0,50). Это указывает на устойчивый паттерн направленности данной связи. Следовательно, трудности </w:t>
      </w:r>
      <w:r>
        <w:t>ER</w:t>
      </w:r>
      <w:r w:rsidRPr="008634E1">
        <w:rPr>
          <w:lang w:val="ru-RU"/>
        </w:rPr>
        <w:t xml:space="preserve"> можно рассматривать как фактор риска развития поведенческих аддикций.</w:t>
      </w:r>
    </w:p>
    <w:p w14:paraId="642930D2" w14:textId="77777777" w:rsidR="005256DC" w:rsidRPr="008634E1" w:rsidRDefault="00000000">
      <w:pPr>
        <w:spacing w:after="120"/>
        <w:rPr>
          <w:lang w:val="ru-RU"/>
        </w:rPr>
      </w:pPr>
      <w:r w:rsidRPr="008634E1">
        <w:rPr>
          <w:lang w:val="ru-RU"/>
        </w:rPr>
        <w:t xml:space="preserve">Кроме того, эти результаты дополнительно поддерживают представление об </w:t>
      </w:r>
      <w:r>
        <w:t>ER</w:t>
      </w:r>
      <w:r w:rsidRPr="008634E1">
        <w:rPr>
          <w:lang w:val="ru-RU"/>
        </w:rPr>
        <w:t xml:space="preserve"> как о трансдиагностическом конструкте [51]. Исследования на неклинических выборках в целом показывают значимые связи между </w:t>
      </w:r>
      <w:r>
        <w:t>ER</w:t>
      </w:r>
      <w:r w:rsidRPr="008634E1">
        <w:rPr>
          <w:lang w:val="ru-RU"/>
        </w:rPr>
        <w:t xml:space="preserve"> и симптомами различных форм психопатологии, </w:t>
      </w:r>
      <w:r w:rsidRPr="008634E1">
        <w:rPr>
          <w:lang w:val="ru-RU"/>
        </w:rPr>
        <w:lastRenderedPageBreak/>
        <w:t xml:space="preserve">включая депрессию, тревогу, нарушения пищевого поведения, биполярное расстройство и другие расстройства, связанные с употреблением веществ [17,51-53,55]. Настоящий обзор расширяет эти данные, рассматривая связь </w:t>
      </w:r>
      <w:r>
        <w:t>ER</w:t>
      </w:r>
      <w:r w:rsidRPr="008634E1">
        <w:rPr>
          <w:lang w:val="ru-RU"/>
        </w:rPr>
        <w:t xml:space="preserve"> с поведенческими аддикциями (азартные игры и видеоигры), и тем самым усиливает растущий массив свидетельств того, что трудности </w:t>
      </w:r>
      <w:r>
        <w:t>ER</w:t>
      </w:r>
      <w:r w:rsidRPr="008634E1">
        <w:rPr>
          <w:lang w:val="ru-RU"/>
        </w:rPr>
        <w:t xml:space="preserve">, вероятно, входят в число базовых механизмов множества форм психопатологии. Более того, результаты показывают, что </w:t>
      </w:r>
      <w:r>
        <w:t>ER</w:t>
      </w:r>
      <w:r w:rsidRPr="008634E1">
        <w:rPr>
          <w:lang w:val="ru-RU"/>
        </w:rPr>
        <w:t xml:space="preserve"> следует рассматривать как важную и специфическую мишень психологического лечения и профилактики поведенческих аддикций. Например, программы, ориентированные на обучение распознаванию эмоций и пониманию того, как эмоции проявляются в теле (то есть на развитие эмоциональной осознанности), могут помочь людям лучше понимать и осознавать собственный эмоциональный опыт. В то же время программы вроде практики, основанные на осознанности, нацеленные на осознанность, принятие и безоценочное отношение к переживаемым эмоциям, могут позволить человеку переживать периоды высокой эмоциональной интенсивности без импульсивного реагирования, что особенно характерно для лиц, чрезмерно вовлечённых в азартные игры и видеоигры.</w:t>
      </w:r>
    </w:p>
    <w:p w14:paraId="1B42C79A" w14:textId="77777777" w:rsidR="005256DC" w:rsidRPr="008634E1" w:rsidRDefault="00000000">
      <w:pPr>
        <w:spacing w:after="120"/>
        <w:rPr>
          <w:lang w:val="ru-RU"/>
        </w:rPr>
      </w:pPr>
      <w:r w:rsidRPr="008634E1">
        <w:rPr>
          <w:lang w:val="ru-RU"/>
        </w:rPr>
        <w:t xml:space="preserve">Возможно, на выводы, сделанные по результатам включённых исследований, повлияли некоторые факторы, связанные с характеристиками выборок, измерительными инструментами и различиями в методологических подходах. Во-первых, в 75% исследований участники были старше 18 лет, тогда как только пять исследований (все в области видеоигр) включали детей или подростков. Это указывает на необходимость отдельно изучать влияние </w:t>
      </w:r>
      <w:r>
        <w:t>ER</w:t>
      </w:r>
      <w:r w:rsidRPr="008634E1">
        <w:rPr>
          <w:lang w:val="ru-RU"/>
        </w:rPr>
        <w:t xml:space="preserve"> на поведенческие аддикции у детей, подростков и взрослых, особенно с учётом высокого уровня стрессоров, характерных для подросткового возраста. В частности, подростки часто менее успешны в регуляции эмоций [54], демонстрируют более высокую импульсивность и более восприимчивы к аддиктивному поведению [52]. Например, исследования последовательно показывают, что вероятность проблемного гемблинга у подростков в 2-4 раза выше, чем у взрослых [5,53-57]. Дополнительным направлением исследований может стать анализ переходных периодов жизненного цикла как способа понять специфические стрессоры разных этапов развития (например, смена школы, окончание колледжа, создание семьи). В выборках также наблюдалась избыточная представленность мужчин: в 30% исследований выборки состояли исключительно из мужчин. Вероятно, это связано с тем, что мужчины в большей степени представлены среди лиц с гемблинг- и гейминг-расстройствами [9,58]. Вместе с тем показано, что у женщин выше распространённость расстройств настроения и трудностей </w:t>
      </w:r>
      <w:r>
        <w:t>ER</w:t>
      </w:r>
      <w:r w:rsidRPr="008634E1">
        <w:rPr>
          <w:lang w:val="ru-RU"/>
        </w:rPr>
        <w:t xml:space="preserve"> [59]. Следовательно, нельзя исключать, что величины эффекта в работах с большей долей женщин были бы ещё выше. Проверить это предположение невозможно, поскольку ни одно исследование не включало достаточно крупную женскую выборку. Это указывает на необходимость более определённых исследований связи между дефицитами </w:t>
      </w:r>
      <w:r>
        <w:t>ER</w:t>
      </w:r>
      <w:r w:rsidRPr="008634E1">
        <w:rPr>
          <w:lang w:val="ru-RU"/>
        </w:rPr>
        <w:t xml:space="preserve"> и поведенческими аддикциями у женщин. Кроме того, во всех исследованиях использовались самоотчётные методики, что потенциально может приводить к смещённым оценкам самоописаний, непониманию вопросов или эффектам социальной желательности. Риск социальной желательности особенно значим для исследований гемблинга, поскольку участникам может быть некомфортно сообщать о рискованном или аддиктивном поведении, особенно с учётом сравнительно низкой социальной приемлемости чрезмерной вовлечённости.</w:t>
      </w:r>
    </w:p>
    <w:p w14:paraId="6BF01438" w14:textId="77777777" w:rsidR="005256DC" w:rsidRPr="008634E1" w:rsidRDefault="00000000">
      <w:pPr>
        <w:spacing w:after="120"/>
        <w:rPr>
          <w:lang w:val="ru-RU"/>
        </w:rPr>
      </w:pPr>
      <w:r w:rsidRPr="008634E1">
        <w:rPr>
          <w:lang w:val="ru-RU"/>
        </w:rPr>
        <w:lastRenderedPageBreak/>
        <w:t xml:space="preserve">Наконец, только два исследования (10%) изучали связь между </w:t>
      </w:r>
      <w:r>
        <w:t>ER</w:t>
      </w:r>
      <w:r w:rsidRPr="008634E1">
        <w:rPr>
          <w:lang w:val="ru-RU"/>
        </w:rPr>
        <w:t xml:space="preserve"> и проблемным видеоигровым поведением в лонгитюдной перспективе, тогда как исследований, анализирующих во времени связь между </w:t>
      </w:r>
      <w:r>
        <w:t>ER</w:t>
      </w:r>
      <w:r w:rsidRPr="008634E1">
        <w:rPr>
          <w:lang w:val="ru-RU"/>
        </w:rPr>
        <w:t xml:space="preserve"> и проблемным гемблингом, пока нет. Для эффективного понимания прогностической роли дефицитов </w:t>
      </w:r>
      <w:r>
        <w:t>ER</w:t>
      </w:r>
      <w:r w:rsidRPr="008634E1">
        <w:rPr>
          <w:lang w:val="ru-RU"/>
        </w:rPr>
        <w:t xml:space="preserve"> в развитии поведенческих аддикций необходимы дальнейшие лонгитюдные исследования.</w:t>
      </w:r>
    </w:p>
    <w:p w14:paraId="744487CD" w14:textId="77777777" w:rsidR="005256DC" w:rsidRPr="008634E1" w:rsidRDefault="00000000">
      <w:pPr>
        <w:spacing w:after="120"/>
        <w:rPr>
          <w:lang w:val="ru-RU"/>
        </w:rPr>
      </w:pPr>
      <w:r w:rsidRPr="008634E1">
        <w:rPr>
          <w:lang w:val="ru-RU"/>
        </w:rPr>
        <w:t xml:space="preserve">Следует отметить и ряд ограничений самого обзора. Во-первых, включались только англоязычные публикации, что исключало работы на других языках. С учётом того, что большинство включённых исследований было проведено в Европе, будущие обзоры должны включать публикации и на других языках для получения более всесторонней картины. Во-вторых, в данном обзоре были объединены разные типы азартных игр и видеоигр. Вполне возможно, что результаты различаются в зависимости от типа игровой активности. Однако ввиду ограниченного числа исследований, посвящённых влиянию </w:t>
      </w:r>
      <w:r>
        <w:t>ER</w:t>
      </w:r>
      <w:r w:rsidRPr="008634E1">
        <w:rPr>
          <w:lang w:val="ru-RU"/>
        </w:rPr>
        <w:t xml:space="preserve"> в области поведенческих аддикций, для настоящего обзора такое объединение было необходимым. Предыдущие исследования в области гемблинга показывали, что проблемные игроки чаще ассоциируются с определёнными формами азартных игр (например, электронные игровые автоматы, казино, бинго и покер), а также чаще участвуют в большем числе видов азартных игр, чем лица без гемблинга [60]. В-третьих, в обзор включались различные меры </w:t>
      </w:r>
      <w:r>
        <w:t>ER</w:t>
      </w:r>
      <w:r w:rsidRPr="008634E1">
        <w:rPr>
          <w:lang w:val="ru-RU"/>
        </w:rPr>
        <w:t xml:space="preserve"> (например, </w:t>
      </w:r>
      <w:r>
        <w:t>Emotion</w:t>
      </w:r>
      <w:r w:rsidRPr="008634E1">
        <w:rPr>
          <w:lang w:val="ru-RU"/>
        </w:rPr>
        <w:t xml:space="preserve"> </w:t>
      </w:r>
      <w:r>
        <w:t>Regulation</w:t>
      </w:r>
      <w:r w:rsidRPr="008634E1">
        <w:rPr>
          <w:lang w:val="ru-RU"/>
        </w:rPr>
        <w:t xml:space="preserve"> </w:t>
      </w:r>
      <w:r>
        <w:t>Questionnaire</w:t>
      </w:r>
      <w:r w:rsidRPr="008634E1">
        <w:rPr>
          <w:lang w:val="ru-RU"/>
        </w:rPr>
        <w:t xml:space="preserve"> и </w:t>
      </w:r>
      <w:r>
        <w:t>Difficulty</w:t>
      </w:r>
      <w:r w:rsidRPr="008634E1">
        <w:rPr>
          <w:lang w:val="ru-RU"/>
        </w:rPr>
        <w:t xml:space="preserve"> </w:t>
      </w:r>
      <w:r>
        <w:t>in</w:t>
      </w:r>
      <w:r w:rsidRPr="008634E1">
        <w:rPr>
          <w:lang w:val="ru-RU"/>
        </w:rPr>
        <w:t xml:space="preserve"> </w:t>
      </w:r>
      <w:r>
        <w:t>Emotion</w:t>
      </w:r>
      <w:r w:rsidRPr="008634E1">
        <w:rPr>
          <w:lang w:val="ru-RU"/>
        </w:rPr>
        <w:t xml:space="preserve"> </w:t>
      </w:r>
      <w:r>
        <w:t>Regulation</w:t>
      </w:r>
      <w:r w:rsidRPr="008634E1">
        <w:rPr>
          <w:lang w:val="ru-RU"/>
        </w:rPr>
        <w:t xml:space="preserve"> </w:t>
      </w:r>
      <w:r>
        <w:t>Scale</w:t>
      </w:r>
      <w:r w:rsidRPr="008634E1">
        <w:rPr>
          <w:lang w:val="ru-RU"/>
        </w:rPr>
        <w:t xml:space="preserve">), а также различные показатели проблемного гемблинга и видеоигрового поведения. Не исключено, что эти инструменты измеряют несколько разные конструкты. Существенной проблемой для исследований </w:t>
      </w:r>
      <w:r>
        <w:t>ER</w:t>
      </w:r>
      <w:r w:rsidRPr="008634E1">
        <w:rPr>
          <w:lang w:val="ru-RU"/>
        </w:rPr>
        <w:t xml:space="preserve"> и поведенческих аддикций остаётся использование стандартизированных инструментов и методик. В частности, аддикция к видеоиграм по-прежнему характеризуется непоследовательностью в концептуализации и подходах к скринингу и диагностике даже после </w:t>
      </w:r>
      <w:r>
        <w:t>DSM</w:t>
      </w:r>
      <w:r w:rsidRPr="008634E1">
        <w:rPr>
          <w:lang w:val="ru-RU"/>
        </w:rPr>
        <w:t xml:space="preserve">-5 и </w:t>
      </w:r>
      <w:r>
        <w:t>ICD</w:t>
      </w:r>
      <w:r w:rsidRPr="008634E1">
        <w:rPr>
          <w:lang w:val="ru-RU"/>
        </w:rPr>
        <w:t xml:space="preserve">-11. Эти расхождения ограничивают получение устойчивых и надёжных оценок распространённости, а также затрудняют сопоставление результатов между исследованиями [61]. Кроме того, хотя </w:t>
      </w:r>
      <w:r>
        <w:t>ER</w:t>
      </w:r>
      <w:r w:rsidRPr="008634E1">
        <w:rPr>
          <w:lang w:val="ru-RU"/>
        </w:rPr>
        <w:t xml:space="preserve"> сегодня рассматривается как важный конструкт в самых разных областях психологии (биологической, социальной, возрастной, клинической и др.), многие исследователи используют сам термин </w:t>
      </w:r>
      <w:r>
        <w:t>ER</w:t>
      </w:r>
      <w:r w:rsidRPr="008634E1">
        <w:rPr>
          <w:lang w:val="ru-RU"/>
        </w:rPr>
        <w:t xml:space="preserve"> по-разному, что также создаёт несогласованность в концептуализации и определениях [62]. Наконец, учитывая высокую коморбидность поведенческих аддикций с другими психопатологическими состояниями (например, расстройствами настроения), выявленная связь между </w:t>
      </w:r>
      <w:r>
        <w:t>ER</w:t>
      </w:r>
      <w:r w:rsidRPr="008634E1">
        <w:rPr>
          <w:lang w:val="ru-RU"/>
        </w:rPr>
        <w:t xml:space="preserve"> и поведенческими аддикциями может частично объясняться именно этими коморбидными расстройствами, которые ранее уже связывались с </w:t>
      </w:r>
      <w:r>
        <w:t>ER</w:t>
      </w:r>
      <w:r w:rsidRPr="008634E1">
        <w:rPr>
          <w:lang w:val="ru-RU"/>
        </w:rPr>
        <w:t>.</w:t>
      </w:r>
    </w:p>
    <w:p w14:paraId="041AAD0D" w14:textId="77777777" w:rsidR="005256DC" w:rsidRPr="008634E1" w:rsidRDefault="00000000">
      <w:pPr>
        <w:spacing w:after="120"/>
        <w:rPr>
          <w:lang w:val="ru-RU"/>
        </w:rPr>
      </w:pPr>
      <w:r w:rsidRPr="008634E1">
        <w:rPr>
          <w:lang w:val="ru-RU"/>
        </w:rPr>
        <w:t xml:space="preserve">Тем не менее такая работа имеет важные теоретические и практические последствия. Ограниченное число рецензируемых статей, посвящённых </w:t>
      </w:r>
      <w:r>
        <w:t>ER</w:t>
      </w:r>
      <w:r w:rsidRPr="008634E1">
        <w:rPr>
          <w:lang w:val="ru-RU"/>
        </w:rPr>
        <w:t xml:space="preserve">, показывает, что необходимы более масштабные исследования, чтобы оценить, насколько корректно использовать этот теоретический конструкт для прогноза поведенческих аддикций в лонгитюдной перспективе. Будущие исследования должны также уделить особое внимание роли </w:t>
      </w:r>
      <w:r>
        <w:t>ER</w:t>
      </w:r>
      <w:r w:rsidRPr="008634E1">
        <w:rPr>
          <w:lang w:val="ru-RU"/>
        </w:rPr>
        <w:t xml:space="preserve"> в прогнозировании поведенческих аддикций у подростков и молодых взрослых, особенно если предполагается внедрение профилактических программ. Более того, чтобы понять прогностическую природу </w:t>
      </w:r>
      <w:r>
        <w:t>ER</w:t>
      </w:r>
      <w:r w:rsidRPr="008634E1">
        <w:rPr>
          <w:lang w:val="ru-RU"/>
        </w:rPr>
        <w:t>, в этой области необходимы дополнительные лонгитюдные исследования.</w:t>
      </w:r>
    </w:p>
    <w:p w14:paraId="0E6D7CA7" w14:textId="77777777" w:rsidR="005256DC" w:rsidRPr="008634E1" w:rsidRDefault="00000000">
      <w:pPr>
        <w:spacing w:after="120"/>
        <w:rPr>
          <w:lang w:val="ru-RU"/>
        </w:rPr>
      </w:pPr>
      <w:r w:rsidRPr="008634E1">
        <w:rPr>
          <w:lang w:val="ru-RU"/>
        </w:rPr>
        <w:lastRenderedPageBreak/>
        <w:t xml:space="preserve">Хотя исследования в данной области всё ещё находятся на раннем этапе, результаты этого обзора дают предварительные основания полагать, что дефициты </w:t>
      </w:r>
      <w:r>
        <w:t>ER</w:t>
      </w:r>
      <w:r w:rsidRPr="008634E1">
        <w:rPr>
          <w:lang w:val="ru-RU"/>
        </w:rPr>
        <w:t xml:space="preserve"> значимо связаны с поведенческими аддикциями. Следовательно, людям, страдающим поведенческими аддикциями, могут быть полезны интервенционные программы, направленные на развитие и усиление навыков </w:t>
      </w:r>
      <w:r>
        <w:t>ER</w:t>
      </w:r>
      <w:r w:rsidRPr="008634E1">
        <w:rPr>
          <w:lang w:val="ru-RU"/>
        </w:rPr>
        <w:t xml:space="preserve">. Кроме того, лиц с дефицитами </w:t>
      </w:r>
      <w:r>
        <w:t>ER</w:t>
      </w:r>
      <w:r w:rsidRPr="008634E1">
        <w:rPr>
          <w:lang w:val="ru-RU"/>
        </w:rPr>
        <w:t xml:space="preserve"> потенциально можно выявлять как группу риска и вовлекать в профилактические программы. Исследования профилактики и интервенции уже начинают смещаться от программ, ориентированных на отдельные расстройства, к инициативам, нацеленным на множественные нарушения (то есть на все поведенческие аддикции, а не только на проблемный гемблинг или видеоигры). Поэтому программы, направленные на усиление защитных факторов, таких как </w:t>
      </w:r>
      <w:r>
        <w:t>ER</w:t>
      </w:r>
      <w:r w:rsidRPr="008634E1">
        <w:rPr>
          <w:lang w:val="ru-RU"/>
        </w:rPr>
        <w:t>, а не только на симптоматику, вероятно, будут наиболее эффективными для улучшения психического здоровья и общего благополучия.</w:t>
      </w:r>
    </w:p>
    <w:sectPr w:rsidR="005256DC" w:rsidRPr="008634E1" w:rsidSect="00034616">
      <w:pgSz w:w="12240" w:h="15840"/>
      <w:pgMar w:top="1134" w:right="1247" w:bottom="1134"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769617608">
    <w:abstractNumId w:val="8"/>
  </w:num>
  <w:num w:numId="2" w16cid:durableId="147789560">
    <w:abstractNumId w:val="6"/>
  </w:num>
  <w:num w:numId="3" w16cid:durableId="789057687">
    <w:abstractNumId w:val="5"/>
  </w:num>
  <w:num w:numId="4" w16cid:durableId="1054549373">
    <w:abstractNumId w:val="4"/>
  </w:num>
  <w:num w:numId="5" w16cid:durableId="1788044242">
    <w:abstractNumId w:val="7"/>
  </w:num>
  <w:num w:numId="6" w16cid:durableId="1349143224">
    <w:abstractNumId w:val="3"/>
  </w:num>
  <w:num w:numId="7" w16cid:durableId="1877963654">
    <w:abstractNumId w:val="2"/>
  </w:num>
  <w:num w:numId="8" w16cid:durableId="538860276">
    <w:abstractNumId w:val="1"/>
  </w:num>
  <w:num w:numId="9" w16cid:durableId="352146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5256DC"/>
    <w:rsid w:val="008634E1"/>
    <w:rsid w:val="00AA1D8D"/>
    <w:rsid w:val="00B47730"/>
    <w:rsid w:val="00B63AC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96E8B3"/>
  <w14:defaultImageDpi w14:val="300"/>
  <w15:docId w15:val="{D5261FE0-EC2A-634E-AFB4-5A1B1CAF5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Times New Roman" w:hAnsi="Times New Roman"/>
      <w:sz w:val="24"/>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17365D" w:themeColor="text2" w:themeShade="BF"/>
      <w:spacing w:val="5"/>
      <w:kern w:val="28"/>
      <w:sz w:val="3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6256</Words>
  <Characters>35662</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41835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Alice Blokhina</cp:lastModifiedBy>
  <cp:revision>2</cp:revision>
  <dcterms:created xsi:type="dcterms:W3CDTF">2013-12-23T23:15:00Z</dcterms:created>
  <dcterms:modified xsi:type="dcterms:W3CDTF">2026-04-20T14:19:00Z</dcterms:modified>
  <cp:category/>
</cp:coreProperties>
</file>