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AC57" w14:textId="77777777" w:rsidR="009A5D51" w:rsidRPr="008A0118" w:rsidRDefault="009A5D51" w:rsidP="009A5D51">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1BDE77BB" w14:textId="77777777" w:rsidR="009A5D51" w:rsidRDefault="009A5D51">
      <w:pPr>
        <w:spacing w:after="120" w:line="360" w:lineRule="auto"/>
        <w:rPr>
          <w:lang w:val="ru-RU"/>
        </w:rPr>
      </w:pPr>
    </w:p>
    <w:p w14:paraId="6CB913C1" w14:textId="77777777" w:rsidR="009A5D51" w:rsidRDefault="009A5D51">
      <w:pPr>
        <w:spacing w:after="120" w:line="360" w:lineRule="auto"/>
        <w:rPr>
          <w:lang w:val="ru-RU"/>
        </w:rPr>
      </w:pPr>
    </w:p>
    <w:p w14:paraId="5D65569C" w14:textId="77777777" w:rsidR="009A5D51" w:rsidRDefault="009A5D51">
      <w:pPr>
        <w:spacing w:after="120" w:line="360" w:lineRule="auto"/>
        <w:rPr>
          <w:lang w:val="ru-RU"/>
        </w:rPr>
      </w:pPr>
    </w:p>
    <w:p w14:paraId="18DEE57D" w14:textId="1337C3F5" w:rsidR="00EE4EDB" w:rsidRDefault="00000000">
      <w:pPr>
        <w:spacing w:after="120" w:line="360" w:lineRule="auto"/>
        <w:rPr>
          <w:lang w:val="ru-RU"/>
        </w:rPr>
      </w:pPr>
      <w:r>
        <w:t xml:space="preserve">Citation: </w:t>
      </w:r>
      <w:r w:rsidR="009A5D51" w:rsidRPr="009A5D51">
        <w:t>Blasi MD, Giardina A, Giordano C, Coco GL, Tosto C, Billieux J, Schimmenti A. Problematic video game use as an emotional coping strategy: Evidence from a sample of MMORPG gamers. J Behav Addict. 2019 Mar 1;8(1):25-34. doi: 10.1556/2006.8.2019.02. Epub 2019 Feb 11. PMID: 30739460; PMCID: PMC7044601.</w:t>
      </w:r>
    </w:p>
    <w:p w14:paraId="32FD41C9" w14:textId="77777777" w:rsidR="009A5D51" w:rsidRPr="009A5D51" w:rsidRDefault="009A5D51">
      <w:pPr>
        <w:spacing w:after="120" w:line="360" w:lineRule="auto"/>
        <w:rPr>
          <w:lang w:val="ru-RU"/>
        </w:rPr>
      </w:pPr>
    </w:p>
    <w:p w14:paraId="3A16A176" w14:textId="77777777" w:rsidR="00EE4EDB" w:rsidRPr="009A5D51" w:rsidRDefault="00000000">
      <w:pPr>
        <w:spacing w:after="240"/>
        <w:jc w:val="center"/>
        <w:rPr>
          <w:lang w:val="ru-RU"/>
        </w:rPr>
      </w:pPr>
      <w:r w:rsidRPr="009A5D51">
        <w:rPr>
          <w:b/>
          <w:sz w:val="30"/>
          <w:lang w:val="ru-RU"/>
        </w:rPr>
        <w:t xml:space="preserve">Проблемное использование видеоигр как стратегия эмоционального совладания: данные, полученные на выборке игроков в </w:t>
      </w:r>
      <w:r>
        <w:rPr>
          <w:b/>
          <w:sz w:val="30"/>
        </w:rPr>
        <w:t>MMORPG</w:t>
      </w:r>
    </w:p>
    <w:p w14:paraId="113CF66D" w14:textId="77777777" w:rsidR="00EE4EDB" w:rsidRPr="009A5D51" w:rsidRDefault="00000000">
      <w:pPr>
        <w:pStyle w:val="1"/>
        <w:rPr>
          <w:lang w:val="ru-RU"/>
        </w:rPr>
      </w:pPr>
      <w:r w:rsidRPr="009A5D51">
        <w:rPr>
          <w:rFonts w:ascii="Times New Roman" w:eastAsia="Times New Roman" w:hAnsi="Times New Roman"/>
          <w:lang w:val="ru-RU"/>
        </w:rPr>
        <w:t>Аннотация</w:t>
      </w:r>
    </w:p>
    <w:p w14:paraId="6AC65CCE" w14:textId="77777777" w:rsidR="00EE4EDB" w:rsidRPr="009A5D51" w:rsidRDefault="00000000">
      <w:pPr>
        <w:spacing w:after="0" w:line="360" w:lineRule="auto"/>
        <w:ind w:firstLine="357"/>
        <w:jc w:val="both"/>
        <w:rPr>
          <w:lang w:val="ru-RU"/>
        </w:rPr>
      </w:pPr>
      <w:r w:rsidRPr="009A5D51">
        <w:rPr>
          <w:lang w:val="ru-RU"/>
        </w:rPr>
        <w:t>Введение: Положительная связь между проблемным игровым поведением и мотивом эскапизма при игре в видеоигры хорошо установлена, что позволяет предполагать, что проблемное игровое поведение может быть результатом попыток справиться с негативными эмоциями. Однако до настоящего времени ни одно исследование не изучало, как дисрегуляция эмоций влияет одновременно и на мотивы эскапизма, и на паттерны проблемного игрового поведения.</w:t>
      </w:r>
    </w:p>
    <w:p w14:paraId="56E3474A" w14:textId="77777777" w:rsidR="00EE4EDB" w:rsidRPr="009A5D51" w:rsidRDefault="00000000">
      <w:pPr>
        <w:spacing w:after="0" w:line="360" w:lineRule="auto"/>
        <w:ind w:firstLine="357"/>
        <w:jc w:val="both"/>
        <w:rPr>
          <w:lang w:val="ru-RU"/>
        </w:rPr>
      </w:pPr>
      <w:r w:rsidRPr="009A5D51">
        <w:rPr>
          <w:lang w:val="ru-RU"/>
        </w:rPr>
        <w:t xml:space="preserve">Методы: Трудности регуляции эмоций, эскапизм и проблемная вовлеченность в видеоигры оценивались в выборке из 390 игроков в </w:t>
      </w:r>
      <w:r>
        <w:t>World</w:t>
      </w:r>
      <w:r w:rsidRPr="009A5D51">
        <w:rPr>
          <w:lang w:val="ru-RU"/>
        </w:rPr>
        <w:t xml:space="preserve"> </w:t>
      </w:r>
      <w:r>
        <w:t>of</w:t>
      </w:r>
      <w:r w:rsidRPr="009A5D51">
        <w:rPr>
          <w:lang w:val="ru-RU"/>
        </w:rPr>
        <w:t xml:space="preserve"> </w:t>
      </w:r>
      <w:r>
        <w:t>Warcraft</w:t>
      </w:r>
      <w:r w:rsidRPr="009A5D51">
        <w:rPr>
          <w:lang w:val="ru-RU"/>
        </w:rPr>
        <w:t>. Для проверки гипотезы о том, что эскапизм опосредует связь между дисрегуляцией эмоций и проблемным игровым поведением, использовалась модель структурных уравнений.</w:t>
      </w:r>
    </w:p>
    <w:p w14:paraId="6832D6D8" w14:textId="77777777" w:rsidR="00EE4EDB" w:rsidRPr="009A5D51" w:rsidRDefault="00000000">
      <w:pPr>
        <w:spacing w:after="0" w:line="360" w:lineRule="auto"/>
        <w:ind w:firstLine="357"/>
        <w:jc w:val="both"/>
        <w:rPr>
          <w:lang w:val="ru-RU"/>
        </w:rPr>
      </w:pPr>
      <w:r w:rsidRPr="009A5D51">
        <w:rPr>
          <w:lang w:val="ru-RU"/>
        </w:rPr>
        <w:t>Результаты: Статистический анализ показал, что трудности регуляции эмоций предсказывали как мотивы эскапизма, так и проблемное игровое поведение, причем эскапизм частично опосредовал эту связь.</w:t>
      </w:r>
    </w:p>
    <w:p w14:paraId="01690B11" w14:textId="77777777" w:rsidR="00EE4EDB" w:rsidRPr="009A5D51" w:rsidRDefault="00000000">
      <w:pPr>
        <w:spacing w:after="0" w:line="360" w:lineRule="auto"/>
        <w:ind w:firstLine="357"/>
        <w:jc w:val="both"/>
        <w:rPr>
          <w:lang w:val="ru-RU"/>
        </w:rPr>
      </w:pPr>
      <w:r w:rsidRPr="009A5D51">
        <w:rPr>
          <w:lang w:val="ru-RU"/>
        </w:rPr>
        <w:lastRenderedPageBreak/>
        <w:t>Вывод: Полученные результаты поддерживают представление о том, что игроки с проблемными паттернами чаще используют уход в онлайн-игры как неадаптивную стратегию совладания с неблагоприятными эмоциональными переживаниями.</w:t>
      </w:r>
    </w:p>
    <w:p w14:paraId="35DA428C" w14:textId="77777777" w:rsidR="00EE4EDB" w:rsidRPr="009A5D51" w:rsidRDefault="00000000">
      <w:pPr>
        <w:spacing w:after="0" w:line="360" w:lineRule="auto"/>
        <w:jc w:val="both"/>
        <w:rPr>
          <w:lang w:val="ru-RU"/>
        </w:rPr>
      </w:pPr>
      <w:r w:rsidRPr="009A5D51">
        <w:rPr>
          <w:lang w:val="ru-RU"/>
        </w:rPr>
        <w:t>Ключевые слова: проблемное игровое поведение, регуляция эмоций, интернет-игровое расстройство (</w:t>
      </w:r>
      <w:r>
        <w:t>IGD</w:t>
      </w:r>
      <w:r w:rsidRPr="009A5D51">
        <w:rPr>
          <w:lang w:val="ru-RU"/>
        </w:rPr>
        <w:t xml:space="preserve">), эскапизм, </w:t>
      </w:r>
      <w:r>
        <w:t>MMORPG</w:t>
      </w:r>
      <w:r w:rsidRPr="009A5D51">
        <w:rPr>
          <w:lang w:val="ru-RU"/>
        </w:rPr>
        <w:t>, игровое расстройство</w:t>
      </w:r>
    </w:p>
    <w:p w14:paraId="1137D79F" w14:textId="77777777" w:rsidR="00EE4EDB" w:rsidRPr="009A5D51" w:rsidRDefault="00000000">
      <w:pPr>
        <w:pStyle w:val="1"/>
        <w:rPr>
          <w:lang w:val="ru-RU"/>
        </w:rPr>
      </w:pPr>
      <w:r w:rsidRPr="009A5D51">
        <w:rPr>
          <w:rFonts w:ascii="Times New Roman" w:eastAsia="Times New Roman" w:hAnsi="Times New Roman"/>
          <w:lang w:val="ru-RU"/>
        </w:rPr>
        <w:t>Введение</w:t>
      </w:r>
    </w:p>
    <w:p w14:paraId="265796C6" w14:textId="77777777" w:rsidR="00EE4EDB" w:rsidRPr="009A5D51" w:rsidRDefault="00000000">
      <w:pPr>
        <w:spacing w:after="0" w:line="360" w:lineRule="auto"/>
        <w:ind w:firstLine="357"/>
        <w:jc w:val="both"/>
        <w:rPr>
          <w:lang w:val="ru-RU"/>
        </w:rPr>
      </w:pPr>
      <w:r w:rsidRPr="009A5D51">
        <w:rPr>
          <w:lang w:val="ru-RU"/>
        </w:rPr>
        <w:t>Массовые многопользовательские онлайн-ролевые игры (</w:t>
      </w:r>
      <w:r>
        <w:t>MMORPG</w:t>
      </w:r>
      <w:r w:rsidRPr="009A5D51">
        <w:rPr>
          <w:lang w:val="ru-RU"/>
        </w:rPr>
        <w:t>) представляют собой виртуальные среды, в которых игроки могут взаимодействовать друг с другом посредством настраиваемых аватаров, сотрудничая, отыгрывая роли и соревнуясь с миллионами игроков по всему миру. Предшествующая литература по проблемному игровому поведению (</w:t>
      </w:r>
      <w:r>
        <w:t>PG</w:t>
      </w:r>
      <w:r w:rsidRPr="009A5D51">
        <w:rPr>
          <w:lang w:val="ru-RU"/>
        </w:rPr>
        <w:t xml:space="preserve">) в значительной степени сосредоточивалась на </w:t>
      </w:r>
      <w:r>
        <w:t>MMORPG</w:t>
      </w:r>
      <w:r w:rsidRPr="009A5D51">
        <w:rPr>
          <w:lang w:val="ru-RU"/>
        </w:rPr>
        <w:t xml:space="preserve">. В настоящее время </w:t>
      </w:r>
      <w:r>
        <w:t>PG</w:t>
      </w:r>
      <w:r w:rsidRPr="009A5D51">
        <w:rPr>
          <w:lang w:val="ru-RU"/>
        </w:rPr>
        <w:t xml:space="preserve"> рассматривается как потенциальное расстройство, включенное в раздел </w:t>
      </w:r>
      <w:r>
        <w:t>III</w:t>
      </w:r>
      <w:r w:rsidRPr="009A5D51">
        <w:rPr>
          <w:lang w:val="ru-RU"/>
        </w:rPr>
        <w:t xml:space="preserve"> ("</w:t>
      </w:r>
      <w:r>
        <w:t>Emerging</w:t>
      </w:r>
      <w:r w:rsidRPr="009A5D51">
        <w:rPr>
          <w:lang w:val="ru-RU"/>
        </w:rPr>
        <w:t xml:space="preserve"> </w:t>
      </w:r>
      <w:r>
        <w:t>Measures</w:t>
      </w:r>
      <w:r w:rsidRPr="009A5D51">
        <w:rPr>
          <w:lang w:val="ru-RU"/>
        </w:rPr>
        <w:t xml:space="preserve"> </w:t>
      </w:r>
      <w:r>
        <w:t>and</w:t>
      </w:r>
      <w:r w:rsidRPr="009A5D51">
        <w:rPr>
          <w:lang w:val="ru-RU"/>
        </w:rPr>
        <w:t xml:space="preserve"> </w:t>
      </w:r>
      <w:r>
        <w:t>Models</w:t>
      </w:r>
      <w:r w:rsidRPr="009A5D51">
        <w:rPr>
          <w:lang w:val="ru-RU"/>
        </w:rPr>
        <w:t xml:space="preserve">") последнего издания </w:t>
      </w:r>
      <w:r>
        <w:t>Diagnostic</w:t>
      </w:r>
      <w:r w:rsidRPr="009A5D51">
        <w:rPr>
          <w:lang w:val="ru-RU"/>
        </w:rPr>
        <w:t xml:space="preserve"> </w:t>
      </w:r>
      <w:r>
        <w:t>and</w:t>
      </w:r>
      <w:r w:rsidRPr="009A5D51">
        <w:rPr>
          <w:lang w:val="ru-RU"/>
        </w:rPr>
        <w:t xml:space="preserve"> </w:t>
      </w:r>
      <w:r>
        <w:t>Statistical</w:t>
      </w:r>
      <w:r w:rsidRPr="009A5D51">
        <w:rPr>
          <w:lang w:val="ru-RU"/>
        </w:rPr>
        <w:t xml:space="preserve"> </w:t>
      </w:r>
      <w:r>
        <w:t>Manual</w:t>
      </w:r>
      <w:r w:rsidRPr="009A5D51">
        <w:rPr>
          <w:lang w:val="ru-RU"/>
        </w:rPr>
        <w:t xml:space="preserve"> </w:t>
      </w:r>
      <w:r>
        <w:t>of</w:t>
      </w:r>
      <w:r w:rsidRPr="009A5D51">
        <w:rPr>
          <w:lang w:val="ru-RU"/>
        </w:rPr>
        <w:t xml:space="preserve"> </w:t>
      </w:r>
      <w:r>
        <w:t>Mental</w:t>
      </w:r>
      <w:r w:rsidRPr="009A5D51">
        <w:rPr>
          <w:lang w:val="ru-RU"/>
        </w:rPr>
        <w:t xml:space="preserve"> </w:t>
      </w:r>
      <w:r>
        <w:t>Disorders</w:t>
      </w:r>
      <w:r w:rsidRPr="009A5D51">
        <w:rPr>
          <w:lang w:val="ru-RU"/>
        </w:rPr>
        <w:t xml:space="preserve"> (</w:t>
      </w:r>
      <w:r>
        <w:t>DSM</w:t>
      </w:r>
      <w:r w:rsidRPr="009A5D51">
        <w:rPr>
          <w:lang w:val="ru-RU"/>
        </w:rPr>
        <w:t xml:space="preserve">-5; </w:t>
      </w:r>
      <w:r>
        <w:t>American</w:t>
      </w:r>
      <w:r w:rsidRPr="009A5D51">
        <w:rPr>
          <w:lang w:val="ru-RU"/>
        </w:rPr>
        <w:t xml:space="preserve"> </w:t>
      </w:r>
      <w:r>
        <w:t>Psychiatric</w:t>
      </w:r>
      <w:r w:rsidRPr="009A5D51">
        <w:rPr>
          <w:lang w:val="ru-RU"/>
        </w:rPr>
        <w:t xml:space="preserve"> </w:t>
      </w:r>
      <w:r>
        <w:t>Association</w:t>
      </w:r>
      <w:r w:rsidRPr="009A5D51">
        <w:rPr>
          <w:lang w:val="ru-RU"/>
        </w:rPr>
        <w:t>, 2013) под названием интернет-игровое расстройство (</w:t>
      </w:r>
      <w:r>
        <w:t>IGD</w:t>
      </w:r>
      <w:r w:rsidRPr="009A5D51">
        <w:rPr>
          <w:lang w:val="ru-RU"/>
        </w:rPr>
        <w:t xml:space="preserve">). Кроме того, </w:t>
      </w:r>
      <w:r>
        <w:t>International</w:t>
      </w:r>
      <w:r w:rsidRPr="009A5D51">
        <w:rPr>
          <w:lang w:val="ru-RU"/>
        </w:rPr>
        <w:t xml:space="preserve"> </w:t>
      </w:r>
      <w:r>
        <w:t>Classification</w:t>
      </w:r>
      <w:r w:rsidRPr="009A5D51">
        <w:rPr>
          <w:lang w:val="ru-RU"/>
        </w:rPr>
        <w:t xml:space="preserve"> </w:t>
      </w:r>
      <w:r>
        <w:t>of</w:t>
      </w:r>
      <w:r w:rsidRPr="009A5D51">
        <w:rPr>
          <w:lang w:val="ru-RU"/>
        </w:rPr>
        <w:t xml:space="preserve"> </w:t>
      </w:r>
      <w:r>
        <w:t>Diseases</w:t>
      </w:r>
      <w:r w:rsidRPr="009A5D51">
        <w:rPr>
          <w:lang w:val="ru-RU"/>
        </w:rPr>
        <w:t xml:space="preserve"> (</w:t>
      </w:r>
      <w:r>
        <w:t>World</w:t>
      </w:r>
      <w:r w:rsidRPr="009A5D51">
        <w:rPr>
          <w:lang w:val="ru-RU"/>
        </w:rPr>
        <w:t xml:space="preserve"> </w:t>
      </w:r>
      <w:r>
        <w:t>Health</w:t>
      </w:r>
      <w:r w:rsidRPr="009A5D51">
        <w:rPr>
          <w:lang w:val="ru-RU"/>
        </w:rPr>
        <w:t xml:space="preserve"> </w:t>
      </w:r>
      <w:r>
        <w:t>Organization</w:t>
      </w:r>
      <w:r w:rsidRPr="009A5D51">
        <w:rPr>
          <w:lang w:val="ru-RU"/>
        </w:rPr>
        <w:t xml:space="preserve">, 2018) включает игровое расстройство в раздел нарушений, возникающих вследствие аддиктивного поведения. Тем не менее вопрос о том, что именно составляет </w:t>
      </w:r>
      <w:r>
        <w:t>PG</w:t>
      </w:r>
      <w:r w:rsidRPr="009A5D51">
        <w:rPr>
          <w:lang w:val="ru-RU"/>
        </w:rPr>
        <w:t>, по-прежнему остается предметом дискуссии (</w:t>
      </w:r>
      <w:r>
        <w:t>King</w:t>
      </w:r>
      <w:r w:rsidRPr="009A5D51">
        <w:rPr>
          <w:lang w:val="ru-RU"/>
        </w:rPr>
        <w:t xml:space="preserve"> </w:t>
      </w:r>
      <w:r>
        <w:t>et</w:t>
      </w:r>
      <w:r w:rsidRPr="009A5D51">
        <w:rPr>
          <w:lang w:val="ru-RU"/>
        </w:rPr>
        <w:t xml:space="preserve"> </w:t>
      </w:r>
      <w:r>
        <w:t>al</w:t>
      </w:r>
      <w:r w:rsidRPr="009A5D51">
        <w:rPr>
          <w:lang w:val="ru-RU"/>
        </w:rPr>
        <w:t xml:space="preserve">., 2018; </w:t>
      </w:r>
      <w:r>
        <w:t>Van</w:t>
      </w:r>
      <w:r w:rsidRPr="009A5D51">
        <w:rPr>
          <w:lang w:val="ru-RU"/>
        </w:rPr>
        <w:t xml:space="preserve"> </w:t>
      </w:r>
      <w:r>
        <w:t>Rooij</w:t>
      </w:r>
      <w:r w:rsidRPr="009A5D51">
        <w:rPr>
          <w:lang w:val="ru-RU"/>
        </w:rPr>
        <w:t xml:space="preserve"> </w:t>
      </w:r>
      <w:r>
        <w:t>et</w:t>
      </w:r>
      <w:r w:rsidRPr="009A5D51">
        <w:rPr>
          <w:lang w:val="ru-RU"/>
        </w:rPr>
        <w:t xml:space="preserve"> </w:t>
      </w:r>
      <w:r>
        <w:t>al</w:t>
      </w:r>
      <w:r w:rsidRPr="009A5D51">
        <w:rPr>
          <w:lang w:val="ru-RU"/>
        </w:rPr>
        <w:t xml:space="preserve">., 2018). Одно из опасений связано с риском патологизации здоровых, хотя и "высоко вовлеченных" игроков, которые могут соответствовать диагностическим критериям </w:t>
      </w:r>
      <w:r>
        <w:t>IGD</w:t>
      </w:r>
      <w:r w:rsidRPr="009A5D51">
        <w:rPr>
          <w:lang w:val="ru-RU"/>
        </w:rPr>
        <w:t>, не испытывая при этом значимого жизненного неблагополучия (</w:t>
      </w:r>
      <w:r>
        <w:t>Deleuze</w:t>
      </w:r>
      <w:r w:rsidRPr="009A5D51">
        <w:rPr>
          <w:lang w:val="ru-RU"/>
        </w:rPr>
        <w:t xml:space="preserve">, </w:t>
      </w:r>
      <w:r>
        <w:t>Long</w:t>
      </w:r>
      <w:r w:rsidRPr="009A5D51">
        <w:rPr>
          <w:lang w:val="ru-RU"/>
        </w:rPr>
        <w:t xml:space="preserve">, </w:t>
      </w:r>
      <w:r>
        <w:t>Liu</w:t>
      </w:r>
      <w:r w:rsidRPr="009A5D51">
        <w:rPr>
          <w:lang w:val="ru-RU"/>
        </w:rPr>
        <w:t xml:space="preserve">, </w:t>
      </w:r>
      <w:r>
        <w:t>Maurage</w:t>
      </w:r>
      <w:r w:rsidRPr="009A5D51">
        <w:rPr>
          <w:lang w:val="ru-RU"/>
        </w:rPr>
        <w:t xml:space="preserve">, &amp; </w:t>
      </w:r>
      <w:r>
        <w:t>Billieux</w:t>
      </w:r>
      <w:r w:rsidRPr="009A5D51">
        <w:rPr>
          <w:lang w:val="ru-RU"/>
        </w:rPr>
        <w:t>, 2018). Кроме того, остается неясным, существует ли причинная связь между жизненными нарушениями и игровым поведением с признаками аддикции (</w:t>
      </w:r>
      <w:r>
        <w:t>Kardefelt</w:t>
      </w:r>
      <w:r w:rsidRPr="009A5D51">
        <w:rPr>
          <w:lang w:val="ru-RU"/>
        </w:rPr>
        <w:t>-</w:t>
      </w:r>
      <w:r>
        <w:t>Winther</w:t>
      </w:r>
      <w:r w:rsidRPr="009A5D51">
        <w:rPr>
          <w:lang w:val="ru-RU"/>
        </w:rPr>
        <w:t>, 2014</w:t>
      </w:r>
      <w:r>
        <w:t>a</w:t>
      </w:r>
      <w:r w:rsidRPr="009A5D51">
        <w:rPr>
          <w:lang w:val="ru-RU"/>
        </w:rPr>
        <w:t>, 2014</w:t>
      </w:r>
      <w:r>
        <w:t>b</w:t>
      </w:r>
      <w:r w:rsidRPr="009A5D51">
        <w:rPr>
          <w:lang w:val="ru-RU"/>
        </w:rPr>
        <w:t xml:space="preserve">; </w:t>
      </w:r>
      <w:r>
        <w:t>Snodgrass</w:t>
      </w:r>
      <w:r w:rsidRPr="009A5D51">
        <w:rPr>
          <w:lang w:val="ru-RU"/>
        </w:rPr>
        <w:t xml:space="preserve"> </w:t>
      </w:r>
      <w:r>
        <w:t>et</w:t>
      </w:r>
      <w:r w:rsidRPr="009A5D51">
        <w:rPr>
          <w:lang w:val="ru-RU"/>
        </w:rPr>
        <w:t xml:space="preserve"> </w:t>
      </w:r>
      <w:r>
        <w:t>al</w:t>
      </w:r>
      <w:r w:rsidRPr="009A5D51">
        <w:rPr>
          <w:lang w:val="ru-RU"/>
        </w:rPr>
        <w:t xml:space="preserve">., 2014; </w:t>
      </w:r>
      <w:r>
        <w:t>Van</w:t>
      </w:r>
      <w:r w:rsidRPr="009A5D51">
        <w:rPr>
          <w:lang w:val="ru-RU"/>
        </w:rPr>
        <w:t xml:space="preserve"> </w:t>
      </w:r>
      <w:r>
        <w:t>Rooij</w:t>
      </w:r>
      <w:r w:rsidRPr="009A5D51">
        <w:rPr>
          <w:lang w:val="ru-RU"/>
        </w:rPr>
        <w:t xml:space="preserve"> </w:t>
      </w:r>
      <w:r>
        <w:t>et</w:t>
      </w:r>
      <w:r w:rsidRPr="009A5D51">
        <w:rPr>
          <w:lang w:val="ru-RU"/>
        </w:rPr>
        <w:t xml:space="preserve"> </w:t>
      </w:r>
      <w:r>
        <w:t>al</w:t>
      </w:r>
      <w:r w:rsidRPr="009A5D51">
        <w:rPr>
          <w:lang w:val="ru-RU"/>
        </w:rPr>
        <w:t>., 2018).</w:t>
      </w:r>
    </w:p>
    <w:p w14:paraId="0940039F" w14:textId="77777777" w:rsidR="00EE4EDB" w:rsidRPr="009A5D51" w:rsidRDefault="00000000">
      <w:pPr>
        <w:spacing w:after="0" w:line="360" w:lineRule="auto"/>
        <w:ind w:firstLine="357"/>
        <w:jc w:val="both"/>
        <w:rPr>
          <w:lang w:val="ru-RU"/>
        </w:rPr>
      </w:pPr>
      <w:r w:rsidRPr="009A5D51">
        <w:rPr>
          <w:lang w:val="ru-RU"/>
        </w:rPr>
        <w:t xml:space="preserve">Хотя </w:t>
      </w:r>
      <w:r>
        <w:t>PG</w:t>
      </w:r>
      <w:r w:rsidRPr="009A5D51">
        <w:rPr>
          <w:lang w:val="ru-RU"/>
        </w:rPr>
        <w:t xml:space="preserve"> нередко концептуализировалось в рамках биомедицинской модели аддикции (</w:t>
      </w:r>
      <w:r>
        <w:t>Petry</w:t>
      </w:r>
      <w:r w:rsidRPr="009A5D51">
        <w:rPr>
          <w:lang w:val="ru-RU"/>
        </w:rPr>
        <w:t xml:space="preserve"> </w:t>
      </w:r>
      <w:r>
        <w:t>et</w:t>
      </w:r>
      <w:r w:rsidRPr="009A5D51">
        <w:rPr>
          <w:lang w:val="ru-RU"/>
        </w:rPr>
        <w:t xml:space="preserve"> </w:t>
      </w:r>
      <w:r>
        <w:t>al</w:t>
      </w:r>
      <w:r w:rsidRPr="009A5D51">
        <w:rPr>
          <w:lang w:val="ru-RU"/>
        </w:rPr>
        <w:t xml:space="preserve">., 2014), были предложены и альтернативные этиологические гипотезы. Среди них - представление о </w:t>
      </w:r>
      <w:r>
        <w:t>PG</w:t>
      </w:r>
      <w:r w:rsidRPr="009A5D51">
        <w:rPr>
          <w:lang w:val="ru-RU"/>
        </w:rPr>
        <w:t xml:space="preserve"> как о результате неадаптивных стратегий совладания, используемых для работы с негативными аффективными состояниями (</w:t>
      </w:r>
      <w:r>
        <w:t>Maroney</w:t>
      </w:r>
      <w:r w:rsidRPr="009A5D51">
        <w:rPr>
          <w:lang w:val="ru-RU"/>
        </w:rPr>
        <w:t xml:space="preserve">, </w:t>
      </w:r>
      <w:r>
        <w:t>Williams</w:t>
      </w:r>
      <w:r w:rsidRPr="009A5D51">
        <w:rPr>
          <w:lang w:val="ru-RU"/>
        </w:rPr>
        <w:t xml:space="preserve">, </w:t>
      </w:r>
      <w:r>
        <w:t>Thomas</w:t>
      </w:r>
      <w:r w:rsidRPr="009A5D51">
        <w:rPr>
          <w:lang w:val="ru-RU"/>
        </w:rPr>
        <w:t xml:space="preserve">, </w:t>
      </w:r>
      <w:r>
        <w:t>Skues</w:t>
      </w:r>
      <w:r w:rsidRPr="009A5D51">
        <w:rPr>
          <w:lang w:val="ru-RU"/>
        </w:rPr>
        <w:t xml:space="preserve">, &amp; </w:t>
      </w:r>
      <w:r>
        <w:t>Moulding</w:t>
      </w:r>
      <w:r w:rsidRPr="009A5D51">
        <w:rPr>
          <w:lang w:val="ru-RU"/>
        </w:rPr>
        <w:t xml:space="preserve">, 2018; </w:t>
      </w:r>
      <w:r>
        <w:t>Reinecke</w:t>
      </w:r>
      <w:r w:rsidRPr="009A5D51">
        <w:rPr>
          <w:lang w:val="ru-RU"/>
        </w:rPr>
        <w:t xml:space="preserve">, 2009; </w:t>
      </w:r>
      <w:r>
        <w:t>Schimmenti</w:t>
      </w:r>
      <w:r w:rsidRPr="009A5D51">
        <w:rPr>
          <w:lang w:val="ru-RU"/>
        </w:rPr>
        <w:t xml:space="preserve"> &amp; </w:t>
      </w:r>
      <w:r>
        <w:t>Caretti</w:t>
      </w:r>
      <w:r w:rsidRPr="009A5D51">
        <w:rPr>
          <w:lang w:val="ru-RU"/>
        </w:rPr>
        <w:t xml:space="preserve">, 2010; </w:t>
      </w:r>
      <w:r>
        <w:t>Snodgrass</w:t>
      </w:r>
      <w:r w:rsidRPr="009A5D51">
        <w:rPr>
          <w:lang w:val="ru-RU"/>
        </w:rPr>
        <w:t xml:space="preserve"> </w:t>
      </w:r>
      <w:r>
        <w:t>et</w:t>
      </w:r>
      <w:r w:rsidRPr="009A5D51">
        <w:rPr>
          <w:lang w:val="ru-RU"/>
        </w:rPr>
        <w:t xml:space="preserve"> </w:t>
      </w:r>
      <w:r>
        <w:t>al</w:t>
      </w:r>
      <w:r w:rsidRPr="009A5D51">
        <w:rPr>
          <w:lang w:val="ru-RU"/>
        </w:rPr>
        <w:t xml:space="preserve">., 2018). В этом контексте </w:t>
      </w:r>
      <w:r>
        <w:t>Kardefelt</w:t>
      </w:r>
      <w:r w:rsidRPr="009A5D51">
        <w:rPr>
          <w:lang w:val="ru-RU"/>
        </w:rPr>
        <w:t>-</w:t>
      </w:r>
      <w:r>
        <w:t>Winther</w:t>
      </w:r>
      <w:r w:rsidRPr="009A5D51">
        <w:rPr>
          <w:lang w:val="ru-RU"/>
        </w:rPr>
        <w:t xml:space="preserve"> (2014</w:t>
      </w:r>
      <w:r>
        <w:t>b</w:t>
      </w:r>
      <w:r w:rsidRPr="009A5D51">
        <w:rPr>
          <w:lang w:val="ru-RU"/>
        </w:rPr>
        <w:t xml:space="preserve">) предположил, что некоторые люди могут использовать онлайн-среду для облегчения негативных переживаний, возникающих в стрессовых или неблагоприятных жизненных ситуациях, что потенциально ведет к проблемному </w:t>
      </w:r>
      <w:r w:rsidRPr="009A5D51">
        <w:rPr>
          <w:lang w:val="ru-RU"/>
        </w:rPr>
        <w:lastRenderedPageBreak/>
        <w:t xml:space="preserve">использованию и симптомам, сходным с аддиктивными. Следовательно, </w:t>
      </w:r>
      <w:r>
        <w:t>PG</w:t>
      </w:r>
      <w:r w:rsidRPr="009A5D51">
        <w:rPr>
          <w:lang w:val="ru-RU"/>
        </w:rPr>
        <w:t xml:space="preserve"> может выступать как неадаптивная стратегия совладания у лиц с ограниченными навыками саморегуляции.</w:t>
      </w:r>
    </w:p>
    <w:p w14:paraId="77D7AE7E" w14:textId="77777777" w:rsidR="00EE4EDB" w:rsidRPr="009A5D51" w:rsidRDefault="00000000">
      <w:pPr>
        <w:pStyle w:val="21"/>
        <w:rPr>
          <w:lang w:val="ru-RU"/>
        </w:rPr>
      </w:pPr>
      <w:r w:rsidRPr="009A5D51">
        <w:rPr>
          <w:rFonts w:ascii="Times New Roman" w:eastAsia="Times New Roman" w:hAnsi="Times New Roman"/>
          <w:lang w:val="ru-RU"/>
        </w:rPr>
        <w:t>Дисрегуляция эмоций (</w:t>
      </w:r>
      <w:r>
        <w:rPr>
          <w:rFonts w:ascii="Times New Roman" w:eastAsia="Times New Roman" w:hAnsi="Times New Roman"/>
        </w:rPr>
        <w:t>ED</w:t>
      </w:r>
      <w:r w:rsidRPr="009A5D51">
        <w:rPr>
          <w:rFonts w:ascii="Times New Roman" w:eastAsia="Times New Roman" w:hAnsi="Times New Roman"/>
          <w:lang w:val="ru-RU"/>
        </w:rPr>
        <w:t>) и проблемное игровое поведение (</w:t>
      </w:r>
      <w:r>
        <w:rPr>
          <w:rFonts w:ascii="Times New Roman" w:eastAsia="Times New Roman" w:hAnsi="Times New Roman"/>
        </w:rPr>
        <w:t>PG</w:t>
      </w:r>
      <w:r w:rsidRPr="009A5D51">
        <w:rPr>
          <w:rFonts w:ascii="Times New Roman" w:eastAsia="Times New Roman" w:hAnsi="Times New Roman"/>
          <w:lang w:val="ru-RU"/>
        </w:rPr>
        <w:t>)</w:t>
      </w:r>
    </w:p>
    <w:p w14:paraId="284E1FC5" w14:textId="77777777" w:rsidR="00EE4EDB" w:rsidRPr="009A5D51" w:rsidRDefault="00000000">
      <w:pPr>
        <w:spacing w:after="0" w:line="360" w:lineRule="auto"/>
        <w:ind w:firstLine="357"/>
        <w:jc w:val="both"/>
        <w:rPr>
          <w:lang w:val="ru-RU"/>
        </w:rPr>
      </w:pPr>
      <w:r w:rsidRPr="009A5D51">
        <w:rPr>
          <w:lang w:val="ru-RU"/>
        </w:rPr>
        <w:t>За последние два десятилетия конструкт дисрегуляции эмоций (</w:t>
      </w:r>
      <w:r>
        <w:t>ED</w:t>
      </w:r>
      <w:r w:rsidRPr="009A5D51">
        <w:rPr>
          <w:lang w:val="ru-RU"/>
        </w:rPr>
        <w:t xml:space="preserve">) привлекал все большее внимание в психологии и психопатологии. </w:t>
      </w:r>
      <w:r>
        <w:t>ED</w:t>
      </w:r>
      <w:r w:rsidRPr="009A5D51">
        <w:rPr>
          <w:lang w:val="ru-RU"/>
        </w:rPr>
        <w:t xml:space="preserve"> связывали с различными типами психопатологических и межличностных проблем (</w:t>
      </w:r>
      <w:r>
        <w:t>D</w:t>
      </w:r>
      <w:r w:rsidRPr="009A5D51">
        <w:rPr>
          <w:lang w:val="ru-RU"/>
        </w:rPr>
        <w:t>’</w:t>
      </w:r>
      <w:r>
        <w:t>Agostino</w:t>
      </w:r>
      <w:r w:rsidRPr="009A5D51">
        <w:rPr>
          <w:lang w:val="ru-RU"/>
        </w:rPr>
        <w:t xml:space="preserve">, </w:t>
      </w:r>
      <w:r>
        <w:t>Covanti</w:t>
      </w:r>
      <w:r w:rsidRPr="009A5D51">
        <w:rPr>
          <w:lang w:val="ru-RU"/>
        </w:rPr>
        <w:t xml:space="preserve">, </w:t>
      </w:r>
      <w:r>
        <w:t>Monti</w:t>
      </w:r>
      <w:r w:rsidRPr="009A5D51">
        <w:rPr>
          <w:lang w:val="ru-RU"/>
        </w:rPr>
        <w:t xml:space="preserve">, &amp; </w:t>
      </w:r>
      <w:r>
        <w:t>Starcevic</w:t>
      </w:r>
      <w:r w:rsidRPr="009A5D51">
        <w:rPr>
          <w:lang w:val="ru-RU"/>
        </w:rPr>
        <w:t xml:space="preserve">, 2017; </w:t>
      </w:r>
      <w:r>
        <w:t>Dimaggio</w:t>
      </w:r>
      <w:r w:rsidRPr="009A5D51">
        <w:rPr>
          <w:lang w:val="ru-RU"/>
        </w:rPr>
        <w:t xml:space="preserve"> </w:t>
      </w:r>
      <w:r>
        <w:t>et</w:t>
      </w:r>
      <w:r w:rsidRPr="009A5D51">
        <w:rPr>
          <w:lang w:val="ru-RU"/>
        </w:rPr>
        <w:t xml:space="preserve"> </w:t>
      </w:r>
      <w:r>
        <w:t>al</w:t>
      </w:r>
      <w:r w:rsidRPr="009A5D51">
        <w:rPr>
          <w:lang w:val="ru-RU"/>
        </w:rPr>
        <w:t xml:space="preserve">., 2017; </w:t>
      </w:r>
      <w:r>
        <w:t>Gross</w:t>
      </w:r>
      <w:r w:rsidRPr="009A5D51">
        <w:rPr>
          <w:lang w:val="ru-RU"/>
        </w:rPr>
        <w:t xml:space="preserve"> &amp; </w:t>
      </w:r>
      <w:r>
        <w:t>Jazaieri</w:t>
      </w:r>
      <w:r w:rsidRPr="009A5D51">
        <w:rPr>
          <w:lang w:val="ru-RU"/>
        </w:rPr>
        <w:t>, 2014), что побудило некоторых авторов рассматривать ее как характерный признак психопатологии (</w:t>
      </w:r>
      <w:r>
        <w:t>Beauchaine</w:t>
      </w:r>
      <w:r w:rsidRPr="009A5D51">
        <w:rPr>
          <w:lang w:val="ru-RU"/>
        </w:rPr>
        <w:t xml:space="preserve">, </w:t>
      </w:r>
      <w:r>
        <w:t>Gatzke</w:t>
      </w:r>
      <w:r w:rsidRPr="009A5D51">
        <w:rPr>
          <w:lang w:val="ru-RU"/>
        </w:rPr>
        <w:t>-</w:t>
      </w:r>
      <w:r>
        <w:t>Kopp</w:t>
      </w:r>
      <w:r w:rsidRPr="009A5D51">
        <w:rPr>
          <w:lang w:val="ru-RU"/>
        </w:rPr>
        <w:t xml:space="preserve">, &amp; </w:t>
      </w:r>
      <w:r>
        <w:t>Mead</w:t>
      </w:r>
      <w:r w:rsidRPr="009A5D51">
        <w:rPr>
          <w:lang w:val="ru-RU"/>
        </w:rPr>
        <w:t>, 2007). Под регуляцией эмоций обычно понимают совокупность психологических процессов, направленных на дифференциацию, распознавание и гибкое модулирование чувств в соответствии с внешними и межличностными стимулами (</w:t>
      </w:r>
      <w:r>
        <w:t>David</w:t>
      </w:r>
      <w:r w:rsidRPr="009A5D51">
        <w:rPr>
          <w:lang w:val="ru-RU"/>
        </w:rPr>
        <w:t xml:space="preserve">, 2016; </w:t>
      </w:r>
      <w:r>
        <w:t>Fonagy</w:t>
      </w:r>
      <w:r w:rsidRPr="009A5D51">
        <w:rPr>
          <w:lang w:val="ru-RU"/>
        </w:rPr>
        <w:t xml:space="preserve">, </w:t>
      </w:r>
      <w:r>
        <w:t>Gergely</w:t>
      </w:r>
      <w:r w:rsidRPr="009A5D51">
        <w:rPr>
          <w:lang w:val="ru-RU"/>
        </w:rPr>
        <w:t xml:space="preserve">, </w:t>
      </w:r>
      <w:r>
        <w:t>Jurist</w:t>
      </w:r>
      <w:r w:rsidRPr="009A5D51">
        <w:rPr>
          <w:lang w:val="ru-RU"/>
        </w:rPr>
        <w:t xml:space="preserve">, &amp; </w:t>
      </w:r>
      <w:r>
        <w:t>Target</w:t>
      </w:r>
      <w:r w:rsidRPr="009A5D51">
        <w:rPr>
          <w:lang w:val="ru-RU"/>
        </w:rPr>
        <w:t xml:space="preserve">, 2002; </w:t>
      </w:r>
      <w:r>
        <w:t>Gross</w:t>
      </w:r>
      <w:r w:rsidRPr="009A5D51">
        <w:rPr>
          <w:lang w:val="ru-RU"/>
        </w:rPr>
        <w:t xml:space="preserve"> &amp; </w:t>
      </w:r>
      <w:r>
        <w:t>Thompson</w:t>
      </w:r>
      <w:r w:rsidRPr="009A5D51">
        <w:rPr>
          <w:lang w:val="ru-RU"/>
        </w:rPr>
        <w:t>, 2007).</w:t>
      </w:r>
    </w:p>
    <w:p w14:paraId="5825961E" w14:textId="77777777" w:rsidR="00EE4EDB" w:rsidRPr="009A5D51" w:rsidRDefault="00000000">
      <w:pPr>
        <w:spacing w:after="0" w:line="360" w:lineRule="auto"/>
        <w:ind w:firstLine="357"/>
        <w:jc w:val="both"/>
        <w:rPr>
          <w:lang w:val="ru-RU"/>
        </w:rPr>
      </w:pPr>
      <w:r w:rsidRPr="009A5D51">
        <w:rPr>
          <w:lang w:val="ru-RU"/>
        </w:rPr>
        <w:t>Эмоциональная переработка и регуляция эмоций широко анализировались в исследованиях использования смартфонов, социальных сетей и Интернета в целом; было показано как их положительное влияние на благополучие (</w:t>
      </w:r>
      <w:r>
        <w:t>Elhai</w:t>
      </w:r>
      <w:r w:rsidRPr="009A5D51">
        <w:rPr>
          <w:lang w:val="ru-RU"/>
        </w:rPr>
        <w:t xml:space="preserve"> </w:t>
      </w:r>
      <w:r>
        <w:t>et</w:t>
      </w:r>
      <w:r w:rsidRPr="009A5D51">
        <w:rPr>
          <w:lang w:val="ru-RU"/>
        </w:rPr>
        <w:t xml:space="preserve"> </w:t>
      </w:r>
      <w:r>
        <w:t>al</w:t>
      </w:r>
      <w:r w:rsidRPr="009A5D51">
        <w:rPr>
          <w:lang w:val="ru-RU"/>
        </w:rPr>
        <w:t xml:space="preserve">., 2018; </w:t>
      </w:r>
      <w:r>
        <w:t>Hoffner</w:t>
      </w:r>
      <w:r w:rsidRPr="009A5D51">
        <w:rPr>
          <w:lang w:val="ru-RU"/>
        </w:rPr>
        <w:t xml:space="preserve"> &amp; </w:t>
      </w:r>
      <w:r>
        <w:t>Lee</w:t>
      </w:r>
      <w:r w:rsidRPr="009A5D51">
        <w:rPr>
          <w:lang w:val="ru-RU"/>
        </w:rPr>
        <w:t xml:space="preserve">, 2015; </w:t>
      </w:r>
      <w:r>
        <w:t>Kardefelt</w:t>
      </w:r>
      <w:r w:rsidRPr="009A5D51">
        <w:rPr>
          <w:lang w:val="ru-RU"/>
        </w:rPr>
        <w:t>-</w:t>
      </w:r>
      <w:r>
        <w:t>Winther</w:t>
      </w:r>
      <w:r w:rsidRPr="009A5D51">
        <w:rPr>
          <w:lang w:val="ru-RU"/>
        </w:rPr>
        <w:t>, 2014</w:t>
      </w:r>
      <w:r>
        <w:t>a</w:t>
      </w:r>
      <w:r w:rsidRPr="009A5D51">
        <w:rPr>
          <w:lang w:val="ru-RU"/>
        </w:rPr>
        <w:t>), так и их связь с проблемным использованием Интернета (</w:t>
      </w:r>
      <w:r>
        <w:t>Casale</w:t>
      </w:r>
      <w:r w:rsidRPr="009A5D51">
        <w:rPr>
          <w:lang w:val="ru-RU"/>
        </w:rPr>
        <w:t xml:space="preserve">, </w:t>
      </w:r>
      <w:r>
        <w:t>Caplan</w:t>
      </w:r>
      <w:r w:rsidRPr="009A5D51">
        <w:rPr>
          <w:lang w:val="ru-RU"/>
        </w:rPr>
        <w:t xml:space="preserve">, &amp; </w:t>
      </w:r>
      <w:r>
        <w:t>Fioravanti</w:t>
      </w:r>
      <w:r w:rsidRPr="009A5D51">
        <w:rPr>
          <w:lang w:val="ru-RU"/>
        </w:rPr>
        <w:t xml:space="preserve">, 2016; </w:t>
      </w:r>
      <w:r>
        <w:t>Hormes</w:t>
      </w:r>
      <w:r w:rsidRPr="009A5D51">
        <w:rPr>
          <w:lang w:val="ru-RU"/>
        </w:rPr>
        <w:t xml:space="preserve">, </w:t>
      </w:r>
      <w:r>
        <w:t>Kearns</w:t>
      </w:r>
      <w:r w:rsidRPr="009A5D51">
        <w:rPr>
          <w:lang w:val="ru-RU"/>
        </w:rPr>
        <w:t xml:space="preserve">, &amp; </w:t>
      </w:r>
      <w:r>
        <w:t>Timko</w:t>
      </w:r>
      <w:r w:rsidRPr="009A5D51">
        <w:rPr>
          <w:lang w:val="ru-RU"/>
        </w:rPr>
        <w:t xml:space="preserve">, 2014; </w:t>
      </w:r>
      <w:r>
        <w:t>Schimmenti</w:t>
      </w:r>
      <w:r w:rsidRPr="009A5D51">
        <w:rPr>
          <w:lang w:val="ru-RU"/>
        </w:rPr>
        <w:t xml:space="preserve">, </w:t>
      </w:r>
      <w:r>
        <w:t>Starcevic</w:t>
      </w:r>
      <w:r w:rsidRPr="009A5D51">
        <w:rPr>
          <w:lang w:val="ru-RU"/>
        </w:rPr>
        <w:t xml:space="preserve">, </w:t>
      </w:r>
      <w:r>
        <w:t>Gervasi</w:t>
      </w:r>
      <w:r w:rsidRPr="009A5D51">
        <w:rPr>
          <w:lang w:val="ru-RU"/>
        </w:rPr>
        <w:t xml:space="preserve">, </w:t>
      </w:r>
      <w:r>
        <w:t>Deleuze</w:t>
      </w:r>
      <w:r w:rsidRPr="009A5D51">
        <w:rPr>
          <w:lang w:val="ru-RU"/>
        </w:rPr>
        <w:t xml:space="preserve">, &amp; </w:t>
      </w:r>
      <w:r>
        <w:t>Billieux</w:t>
      </w:r>
      <w:r w:rsidRPr="009A5D51">
        <w:rPr>
          <w:lang w:val="ru-RU"/>
        </w:rPr>
        <w:t xml:space="preserve">, 2018; </w:t>
      </w:r>
      <w:r>
        <w:t>Yildiz</w:t>
      </w:r>
      <w:r w:rsidRPr="009A5D51">
        <w:rPr>
          <w:lang w:val="ru-RU"/>
        </w:rPr>
        <w:t>, 2017). В контексте онлайн-игр многие исследования указывали на более частое использование видеоигр в целях регуляции эмоций (</w:t>
      </w:r>
      <w:r>
        <w:t>Gaetan</w:t>
      </w:r>
      <w:r w:rsidRPr="009A5D51">
        <w:rPr>
          <w:lang w:val="ru-RU"/>
        </w:rPr>
        <w:t xml:space="preserve">, </w:t>
      </w:r>
      <w:r>
        <w:t>Br</w:t>
      </w:r>
      <w:r w:rsidRPr="009A5D51">
        <w:rPr>
          <w:lang w:val="ru-RU"/>
        </w:rPr>
        <w:t>é</w:t>
      </w:r>
      <w:r>
        <w:t>jard</w:t>
      </w:r>
      <w:r w:rsidRPr="009A5D51">
        <w:rPr>
          <w:lang w:val="ru-RU"/>
        </w:rPr>
        <w:t xml:space="preserve">, &amp; </w:t>
      </w:r>
      <w:r>
        <w:t>Bonnet</w:t>
      </w:r>
      <w:r w:rsidRPr="009A5D51">
        <w:rPr>
          <w:lang w:val="ru-RU"/>
        </w:rPr>
        <w:t xml:space="preserve">, 2016; </w:t>
      </w:r>
      <w:r>
        <w:t>Hemenover</w:t>
      </w:r>
      <w:r w:rsidRPr="009A5D51">
        <w:rPr>
          <w:lang w:val="ru-RU"/>
        </w:rPr>
        <w:t xml:space="preserve"> &amp; </w:t>
      </w:r>
      <w:r>
        <w:t>Bowman</w:t>
      </w:r>
      <w:r w:rsidRPr="009A5D51">
        <w:rPr>
          <w:lang w:val="ru-RU"/>
        </w:rPr>
        <w:t xml:space="preserve">, 2018; </w:t>
      </w:r>
      <w:r>
        <w:t>Hussain</w:t>
      </w:r>
      <w:r w:rsidRPr="009A5D51">
        <w:rPr>
          <w:lang w:val="ru-RU"/>
        </w:rPr>
        <w:t xml:space="preserve"> &amp; </w:t>
      </w:r>
      <w:r>
        <w:t>Griffiths</w:t>
      </w:r>
      <w:r w:rsidRPr="009A5D51">
        <w:rPr>
          <w:lang w:val="ru-RU"/>
        </w:rPr>
        <w:t xml:space="preserve">, 2009; </w:t>
      </w:r>
      <w:r>
        <w:t>Villani</w:t>
      </w:r>
      <w:r w:rsidRPr="009A5D51">
        <w:rPr>
          <w:lang w:val="ru-RU"/>
        </w:rPr>
        <w:t xml:space="preserve"> </w:t>
      </w:r>
      <w:r>
        <w:t>et</w:t>
      </w:r>
      <w:r w:rsidRPr="009A5D51">
        <w:rPr>
          <w:lang w:val="ru-RU"/>
        </w:rPr>
        <w:t xml:space="preserve"> </w:t>
      </w:r>
      <w:r>
        <w:t>al</w:t>
      </w:r>
      <w:r w:rsidRPr="009A5D51">
        <w:rPr>
          <w:lang w:val="ru-RU"/>
        </w:rPr>
        <w:t xml:space="preserve">., 2018). Например, </w:t>
      </w:r>
      <w:r>
        <w:t>Villani</w:t>
      </w:r>
      <w:r w:rsidRPr="009A5D51">
        <w:rPr>
          <w:lang w:val="ru-RU"/>
        </w:rPr>
        <w:t xml:space="preserve"> </w:t>
      </w:r>
      <w:r>
        <w:t>et</w:t>
      </w:r>
      <w:r w:rsidRPr="009A5D51">
        <w:rPr>
          <w:lang w:val="ru-RU"/>
        </w:rPr>
        <w:t xml:space="preserve"> </w:t>
      </w:r>
      <w:r>
        <w:t>al</w:t>
      </w:r>
      <w:r w:rsidRPr="009A5D51">
        <w:rPr>
          <w:lang w:val="ru-RU"/>
        </w:rPr>
        <w:t>. (2018) предположили, что некоторые особенности видеоигр, такие как интерактивность, чувство мастерства, а также возможность безопасно переживать неудачу и экспериментировать с идентичностью, могут способствовать регуляции эмоций.</w:t>
      </w:r>
    </w:p>
    <w:p w14:paraId="34FCD6AA" w14:textId="77777777" w:rsidR="00EE4EDB" w:rsidRPr="009A5D51" w:rsidRDefault="00000000">
      <w:pPr>
        <w:spacing w:after="0" w:line="360" w:lineRule="auto"/>
        <w:ind w:firstLine="357"/>
        <w:jc w:val="both"/>
        <w:rPr>
          <w:lang w:val="ru-RU"/>
        </w:rPr>
      </w:pPr>
      <w:r w:rsidRPr="009A5D51">
        <w:rPr>
          <w:lang w:val="ru-RU"/>
        </w:rPr>
        <w:t xml:space="preserve">Несмотря на противоречивость данных, лишь немногие исследования рассматривали роль </w:t>
      </w:r>
      <w:r>
        <w:t>ED</w:t>
      </w:r>
      <w:r w:rsidRPr="009A5D51">
        <w:rPr>
          <w:lang w:val="ru-RU"/>
        </w:rPr>
        <w:t xml:space="preserve"> в </w:t>
      </w:r>
      <w:r>
        <w:t>PG</w:t>
      </w:r>
      <w:r w:rsidRPr="009A5D51">
        <w:rPr>
          <w:lang w:val="ru-RU"/>
        </w:rPr>
        <w:t xml:space="preserve"> (</w:t>
      </w:r>
      <w:r>
        <w:t>Billieux</w:t>
      </w:r>
      <w:r w:rsidRPr="009A5D51">
        <w:rPr>
          <w:lang w:val="ru-RU"/>
        </w:rPr>
        <w:t xml:space="preserve"> </w:t>
      </w:r>
      <w:r>
        <w:t>et</w:t>
      </w:r>
      <w:r w:rsidRPr="009A5D51">
        <w:rPr>
          <w:lang w:val="ru-RU"/>
        </w:rPr>
        <w:t xml:space="preserve"> </w:t>
      </w:r>
      <w:r>
        <w:t>al</w:t>
      </w:r>
      <w:r w:rsidRPr="009A5D51">
        <w:rPr>
          <w:lang w:val="ru-RU"/>
        </w:rPr>
        <w:t xml:space="preserve">., 2011; </w:t>
      </w:r>
      <w:r>
        <w:t>Est</w:t>
      </w:r>
      <w:r w:rsidRPr="009A5D51">
        <w:rPr>
          <w:lang w:val="ru-RU"/>
        </w:rPr>
        <w:t>é</w:t>
      </w:r>
      <w:r>
        <w:t>vez</w:t>
      </w:r>
      <w:r w:rsidRPr="009A5D51">
        <w:rPr>
          <w:lang w:val="ru-RU"/>
        </w:rPr>
        <w:t xml:space="preserve">, </w:t>
      </w:r>
      <w:r>
        <w:t>J</w:t>
      </w:r>
      <w:r w:rsidRPr="009A5D51">
        <w:rPr>
          <w:lang w:val="ru-RU"/>
        </w:rPr>
        <w:t>á</w:t>
      </w:r>
      <w:r>
        <w:t>uregui</w:t>
      </w:r>
      <w:r w:rsidRPr="009A5D51">
        <w:rPr>
          <w:lang w:val="ru-RU"/>
        </w:rPr>
        <w:t xml:space="preserve">, </w:t>
      </w:r>
      <w:r>
        <w:t>S</w:t>
      </w:r>
      <w:r w:rsidRPr="009A5D51">
        <w:rPr>
          <w:lang w:val="ru-RU"/>
        </w:rPr>
        <w:t>á</w:t>
      </w:r>
      <w:r>
        <w:t>nchez</w:t>
      </w:r>
      <w:r w:rsidRPr="009A5D51">
        <w:rPr>
          <w:lang w:val="ru-RU"/>
        </w:rPr>
        <w:t>-</w:t>
      </w:r>
      <w:r>
        <w:t>Marcos</w:t>
      </w:r>
      <w:r w:rsidRPr="009A5D51">
        <w:rPr>
          <w:lang w:val="ru-RU"/>
        </w:rPr>
        <w:t xml:space="preserve">, </w:t>
      </w:r>
      <w:r>
        <w:t>L</w:t>
      </w:r>
      <w:r w:rsidRPr="009A5D51">
        <w:rPr>
          <w:lang w:val="ru-RU"/>
        </w:rPr>
        <w:t>ó</w:t>
      </w:r>
      <w:r>
        <w:t>pez</w:t>
      </w:r>
      <w:r w:rsidRPr="009A5D51">
        <w:rPr>
          <w:lang w:val="ru-RU"/>
        </w:rPr>
        <w:t>-</w:t>
      </w:r>
      <w:r>
        <w:t>Gonz</w:t>
      </w:r>
      <w:r w:rsidRPr="009A5D51">
        <w:rPr>
          <w:lang w:val="ru-RU"/>
        </w:rPr>
        <w:t>á</w:t>
      </w:r>
      <w:r>
        <w:t>lez</w:t>
      </w:r>
      <w:r w:rsidRPr="009A5D51">
        <w:rPr>
          <w:lang w:val="ru-RU"/>
        </w:rPr>
        <w:t xml:space="preserve">, &amp; </w:t>
      </w:r>
      <w:r>
        <w:t>Griffiths</w:t>
      </w:r>
      <w:r w:rsidRPr="009A5D51">
        <w:rPr>
          <w:lang w:val="ru-RU"/>
        </w:rPr>
        <w:t xml:space="preserve">, 2017; </w:t>
      </w:r>
      <w:r>
        <w:t>Yen</w:t>
      </w:r>
      <w:r w:rsidRPr="009A5D51">
        <w:rPr>
          <w:lang w:val="ru-RU"/>
        </w:rPr>
        <w:t xml:space="preserve"> </w:t>
      </w:r>
      <w:r>
        <w:t>et</w:t>
      </w:r>
      <w:r w:rsidRPr="009A5D51">
        <w:rPr>
          <w:lang w:val="ru-RU"/>
        </w:rPr>
        <w:t xml:space="preserve"> </w:t>
      </w:r>
      <w:r>
        <w:t>al</w:t>
      </w:r>
      <w:r w:rsidRPr="009A5D51">
        <w:rPr>
          <w:lang w:val="ru-RU"/>
        </w:rPr>
        <w:t xml:space="preserve">., 2018). </w:t>
      </w:r>
      <w:r>
        <w:t>Billieux</w:t>
      </w:r>
      <w:r w:rsidRPr="009A5D51">
        <w:rPr>
          <w:lang w:val="ru-RU"/>
        </w:rPr>
        <w:t xml:space="preserve"> </w:t>
      </w:r>
      <w:r>
        <w:t>et</w:t>
      </w:r>
      <w:r w:rsidRPr="009A5D51">
        <w:rPr>
          <w:lang w:val="ru-RU"/>
        </w:rPr>
        <w:t xml:space="preserve"> </w:t>
      </w:r>
      <w:r>
        <w:t>al</w:t>
      </w:r>
      <w:r w:rsidRPr="009A5D51">
        <w:rPr>
          <w:lang w:val="ru-RU"/>
        </w:rPr>
        <w:t xml:space="preserve">. (2011) обнаружили, что склонность к импульсивным действиям в состоянии сильных негативных эмоций была главным измерением импульсивности, способствующим проблемной вовлеченности в </w:t>
      </w:r>
      <w:r>
        <w:t>World</w:t>
      </w:r>
      <w:r w:rsidRPr="009A5D51">
        <w:rPr>
          <w:lang w:val="ru-RU"/>
        </w:rPr>
        <w:t xml:space="preserve"> </w:t>
      </w:r>
      <w:r>
        <w:t>of</w:t>
      </w:r>
      <w:r w:rsidRPr="009A5D51">
        <w:rPr>
          <w:lang w:val="ru-RU"/>
        </w:rPr>
        <w:t xml:space="preserve"> </w:t>
      </w:r>
      <w:r>
        <w:t>Warcraft</w:t>
      </w:r>
      <w:r w:rsidRPr="009A5D51">
        <w:rPr>
          <w:lang w:val="ru-RU"/>
        </w:rPr>
        <w:t xml:space="preserve"> (</w:t>
      </w:r>
      <w:r>
        <w:t>WoW</w:t>
      </w:r>
      <w:r w:rsidRPr="009A5D51">
        <w:rPr>
          <w:lang w:val="ru-RU"/>
        </w:rPr>
        <w:t xml:space="preserve">) в выборке игроков. Аналогичным образом </w:t>
      </w:r>
      <w:r>
        <w:t>Est</w:t>
      </w:r>
      <w:r w:rsidRPr="009A5D51">
        <w:rPr>
          <w:lang w:val="ru-RU"/>
        </w:rPr>
        <w:t>é</w:t>
      </w:r>
      <w:r>
        <w:t>vez</w:t>
      </w:r>
      <w:r w:rsidRPr="009A5D51">
        <w:rPr>
          <w:lang w:val="ru-RU"/>
        </w:rPr>
        <w:t xml:space="preserve"> </w:t>
      </w:r>
      <w:r>
        <w:t>et</w:t>
      </w:r>
      <w:r w:rsidRPr="009A5D51">
        <w:rPr>
          <w:lang w:val="ru-RU"/>
        </w:rPr>
        <w:t xml:space="preserve"> </w:t>
      </w:r>
      <w:r>
        <w:t>al</w:t>
      </w:r>
      <w:r w:rsidRPr="009A5D51">
        <w:rPr>
          <w:lang w:val="ru-RU"/>
        </w:rPr>
        <w:t xml:space="preserve">. (2017) показали, что недостаточная эмоциональная ясность и слабый контроль эмоциональных реакций предсказывали проблемную вовлеченность в видеоигры в их выборке. Следовательно, можно предположить, что некоторые люди с трудностями регуляции эмоций используют игровую среду для </w:t>
      </w:r>
      <w:r w:rsidRPr="009A5D51">
        <w:rPr>
          <w:lang w:val="ru-RU"/>
        </w:rPr>
        <w:lastRenderedPageBreak/>
        <w:t>совладания с негативной аффективностью, тем самым повышая риск неблагоприятных последствий (</w:t>
      </w:r>
      <w:r>
        <w:t>Kardefelt</w:t>
      </w:r>
      <w:r w:rsidRPr="009A5D51">
        <w:rPr>
          <w:lang w:val="ru-RU"/>
        </w:rPr>
        <w:t>-</w:t>
      </w:r>
      <w:r>
        <w:t>Winther</w:t>
      </w:r>
      <w:r w:rsidRPr="009A5D51">
        <w:rPr>
          <w:lang w:val="ru-RU"/>
        </w:rPr>
        <w:t>, 2014</w:t>
      </w:r>
      <w:r>
        <w:t>b</w:t>
      </w:r>
      <w:r w:rsidRPr="009A5D51">
        <w:rPr>
          <w:lang w:val="ru-RU"/>
        </w:rPr>
        <w:t xml:space="preserve">). Очевидна необходимость восполнить дефицит исследований, посвященных роли </w:t>
      </w:r>
      <w:r>
        <w:t>ED</w:t>
      </w:r>
      <w:r w:rsidRPr="009A5D51">
        <w:rPr>
          <w:lang w:val="ru-RU"/>
        </w:rPr>
        <w:t xml:space="preserve"> у проблемных игроков.</w:t>
      </w:r>
    </w:p>
    <w:p w14:paraId="62C40276" w14:textId="77777777" w:rsidR="00EE4EDB" w:rsidRPr="009A5D51" w:rsidRDefault="00000000">
      <w:pPr>
        <w:pStyle w:val="21"/>
        <w:rPr>
          <w:lang w:val="ru-RU"/>
        </w:rPr>
      </w:pPr>
      <w:r w:rsidRPr="009A5D51">
        <w:rPr>
          <w:rFonts w:ascii="Times New Roman" w:eastAsia="Times New Roman" w:hAnsi="Times New Roman"/>
          <w:lang w:val="ru-RU"/>
        </w:rPr>
        <w:t>Мотивы эскапизма в игре и эмоциональный копинг</w:t>
      </w:r>
    </w:p>
    <w:p w14:paraId="149F4661" w14:textId="77777777" w:rsidR="00EE4EDB" w:rsidRPr="009A5D51" w:rsidRDefault="00000000">
      <w:pPr>
        <w:spacing w:after="0" w:line="360" w:lineRule="auto"/>
        <w:ind w:firstLine="357"/>
        <w:jc w:val="both"/>
        <w:rPr>
          <w:lang w:val="ru-RU"/>
        </w:rPr>
      </w:pPr>
      <w:r w:rsidRPr="009A5D51">
        <w:rPr>
          <w:lang w:val="ru-RU"/>
        </w:rPr>
        <w:t>Конструкт игровых мотиваций (</w:t>
      </w:r>
      <w:r>
        <w:t>Yee</w:t>
      </w:r>
      <w:r w:rsidRPr="009A5D51">
        <w:rPr>
          <w:lang w:val="ru-RU"/>
        </w:rPr>
        <w:t xml:space="preserve">, 2006) может иметь ключевое значение для объяснения связи между </w:t>
      </w:r>
      <w:r>
        <w:t>ED</w:t>
      </w:r>
      <w:r w:rsidRPr="009A5D51">
        <w:rPr>
          <w:lang w:val="ru-RU"/>
        </w:rPr>
        <w:t xml:space="preserve"> и </w:t>
      </w:r>
      <w:r>
        <w:t>PG</w:t>
      </w:r>
      <w:r w:rsidRPr="009A5D51">
        <w:rPr>
          <w:lang w:val="ru-RU"/>
        </w:rPr>
        <w:t xml:space="preserve">. Так, </w:t>
      </w:r>
      <w:r>
        <w:t>Billieux</w:t>
      </w:r>
      <w:r w:rsidRPr="009A5D51">
        <w:rPr>
          <w:lang w:val="ru-RU"/>
        </w:rPr>
        <w:t xml:space="preserve"> </w:t>
      </w:r>
      <w:r>
        <w:t>et</w:t>
      </w:r>
      <w:r w:rsidRPr="009A5D51">
        <w:rPr>
          <w:lang w:val="ru-RU"/>
        </w:rPr>
        <w:t xml:space="preserve"> </w:t>
      </w:r>
      <w:r>
        <w:t>al</w:t>
      </w:r>
      <w:r w:rsidRPr="009A5D51">
        <w:rPr>
          <w:lang w:val="ru-RU"/>
        </w:rPr>
        <w:t>. (2013) установили, что игровые мотивации имеют специфические и содержательно значимые связи с внутриигровым поведением, что позволяет рассматривать психологические мотивы как надежные индикаторы интересов и потребностей игроков.</w:t>
      </w:r>
    </w:p>
    <w:p w14:paraId="3D5BC517" w14:textId="77777777" w:rsidR="00EE4EDB" w:rsidRPr="009A5D51" w:rsidRDefault="00000000">
      <w:pPr>
        <w:spacing w:after="0" w:line="360" w:lineRule="auto"/>
        <w:ind w:firstLine="357"/>
        <w:jc w:val="both"/>
        <w:rPr>
          <w:lang w:val="ru-RU"/>
        </w:rPr>
      </w:pPr>
      <w:r w:rsidRPr="009A5D51">
        <w:rPr>
          <w:lang w:val="ru-RU"/>
        </w:rPr>
        <w:t>Среди различных игровых мотиваций наиболее подробно изучался эскапизм. Эскапизм означает вовлеченность в видеоигры для расслабления или отвлечения от проблем реальной жизни (</w:t>
      </w:r>
      <w:r>
        <w:t>Yee</w:t>
      </w:r>
      <w:r w:rsidRPr="009A5D51">
        <w:rPr>
          <w:lang w:val="ru-RU"/>
        </w:rPr>
        <w:t>, 2006). Он может быть одной из ключевых характеристик, определяющих удовольствие от онлайн-игр, и не обязательно связан с негативными исходами (</w:t>
      </w:r>
      <w:r>
        <w:t>Bowditch</w:t>
      </w:r>
      <w:r w:rsidRPr="009A5D51">
        <w:rPr>
          <w:lang w:val="ru-RU"/>
        </w:rPr>
        <w:t xml:space="preserve">, </w:t>
      </w:r>
      <w:r>
        <w:t>Chapman</w:t>
      </w:r>
      <w:r w:rsidRPr="009A5D51">
        <w:rPr>
          <w:lang w:val="ru-RU"/>
        </w:rPr>
        <w:t xml:space="preserve">, &amp; </w:t>
      </w:r>
      <w:r>
        <w:t>Naweed</w:t>
      </w:r>
      <w:r w:rsidRPr="009A5D51">
        <w:rPr>
          <w:lang w:val="ru-RU"/>
        </w:rPr>
        <w:t xml:space="preserve">, 2018; </w:t>
      </w:r>
      <w:r>
        <w:t>Hussain</w:t>
      </w:r>
      <w:r w:rsidRPr="009A5D51">
        <w:rPr>
          <w:lang w:val="ru-RU"/>
        </w:rPr>
        <w:t xml:space="preserve"> &amp; </w:t>
      </w:r>
      <w:r>
        <w:t>Griffiths</w:t>
      </w:r>
      <w:r w:rsidRPr="009A5D51">
        <w:rPr>
          <w:lang w:val="ru-RU"/>
        </w:rPr>
        <w:t xml:space="preserve">, 2009; </w:t>
      </w:r>
      <w:r>
        <w:t>Kardefelt</w:t>
      </w:r>
      <w:r w:rsidRPr="009A5D51">
        <w:rPr>
          <w:lang w:val="ru-RU"/>
        </w:rPr>
        <w:t>-</w:t>
      </w:r>
      <w:r>
        <w:t>Winther</w:t>
      </w:r>
      <w:r w:rsidRPr="009A5D51">
        <w:rPr>
          <w:lang w:val="ru-RU"/>
        </w:rPr>
        <w:t>, 2014</w:t>
      </w:r>
      <w:r>
        <w:t>c</w:t>
      </w:r>
      <w:r w:rsidRPr="009A5D51">
        <w:rPr>
          <w:lang w:val="ru-RU"/>
        </w:rPr>
        <w:t xml:space="preserve">). Действительно, </w:t>
      </w:r>
      <w:r>
        <w:t>Kuo</w:t>
      </w:r>
      <w:r w:rsidRPr="009A5D51">
        <w:rPr>
          <w:lang w:val="ru-RU"/>
        </w:rPr>
        <w:t xml:space="preserve">, </w:t>
      </w:r>
      <w:r>
        <w:t>Lutz</w:t>
      </w:r>
      <w:r w:rsidRPr="009A5D51">
        <w:rPr>
          <w:lang w:val="ru-RU"/>
        </w:rPr>
        <w:t xml:space="preserve">, </w:t>
      </w:r>
      <w:r>
        <w:t>and</w:t>
      </w:r>
      <w:r w:rsidRPr="009A5D51">
        <w:rPr>
          <w:lang w:val="ru-RU"/>
        </w:rPr>
        <w:t xml:space="preserve"> </w:t>
      </w:r>
      <w:r>
        <w:t>Hiler</w:t>
      </w:r>
      <w:r w:rsidRPr="009A5D51">
        <w:rPr>
          <w:lang w:val="ru-RU"/>
        </w:rPr>
        <w:t xml:space="preserve"> (2016) рассматривали эскапизм как "активный" эмоцио-ориентированный механизм совладания, приносящий облегчение от стресса и чувство эффективности и силы в жизнь игроков. Вместе с тем несколько исследований показали, что мотив эскапизма является одним из наиболее сильных предикторов </w:t>
      </w:r>
      <w:r>
        <w:t>PG</w:t>
      </w:r>
      <w:r w:rsidRPr="009A5D51">
        <w:rPr>
          <w:lang w:val="ru-RU"/>
        </w:rPr>
        <w:t xml:space="preserve"> именно в силу его избегающего, пассивного и дезангажированного характера (</w:t>
      </w:r>
      <w:r>
        <w:t>Ballabio</w:t>
      </w:r>
      <w:r w:rsidRPr="009A5D51">
        <w:rPr>
          <w:lang w:val="ru-RU"/>
        </w:rPr>
        <w:t xml:space="preserve"> </w:t>
      </w:r>
      <w:r>
        <w:t>et</w:t>
      </w:r>
      <w:r w:rsidRPr="009A5D51">
        <w:rPr>
          <w:lang w:val="ru-RU"/>
        </w:rPr>
        <w:t xml:space="preserve"> </w:t>
      </w:r>
      <w:r>
        <w:t>al</w:t>
      </w:r>
      <w:r w:rsidRPr="009A5D51">
        <w:rPr>
          <w:lang w:val="ru-RU"/>
        </w:rPr>
        <w:t xml:space="preserve">., 2017; </w:t>
      </w:r>
      <w:r>
        <w:t>Billieux</w:t>
      </w:r>
      <w:r w:rsidRPr="009A5D51">
        <w:rPr>
          <w:lang w:val="ru-RU"/>
        </w:rPr>
        <w:t xml:space="preserve"> </w:t>
      </w:r>
      <w:r>
        <w:t>et</w:t>
      </w:r>
      <w:r w:rsidRPr="009A5D51">
        <w:rPr>
          <w:lang w:val="ru-RU"/>
        </w:rPr>
        <w:t xml:space="preserve"> </w:t>
      </w:r>
      <w:r>
        <w:t>al</w:t>
      </w:r>
      <w:r w:rsidRPr="009A5D51">
        <w:rPr>
          <w:lang w:val="ru-RU"/>
        </w:rPr>
        <w:t xml:space="preserve">., 2013; </w:t>
      </w:r>
      <w:r>
        <w:t>Bowditch</w:t>
      </w:r>
      <w:r w:rsidRPr="009A5D51">
        <w:rPr>
          <w:lang w:val="ru-RU"/>
        </w:rPr>
        <w:t xml:space="preserve"> </w:t>
      </w:r>
      <w:r>
        <w:t>et</w:t>
      </w:r>
      <w:r w:rsidRPr="009A5D51">
        <w:rPr>
          <w:lang w:val="ru-RU"/>
        </w:rPr>
        <w:t xml:space="preserve"> </w:t>
      </w:r>
      <w:r>
        <w:t>al</w:t>
      </w:r>
      <w:r w:rsidRPr="009A5D51">
        <w:rPr>
          <w:lang w:val="ru-RU"/>
        </w:rPr>
        <w:t xml:space="preserve">., 2018; </w:t>
      </w:r>
      <w:r>
        <w:t>Kuss</w:t>
      </w:r>
      <w:r w:rsidRPr="009A5D51">
        <w:rPr>
          <w:lang w:val="ru-RU"/>
        </w:rPr>
        <w:t xml:space="preserve">, </w:t>
      </w:r>
      <w:r>
        <w:t>Louws</w:t>
      </w:r>
      <w:r w:rsidRPr="009A5D51">
        <w:rPr>
          <w:lang w:val="ru-RU"/>
        </w:rPr>
        <w:t xml:space="preserve">, &amp; </w:t>
      </w:r>
      <w:r>
        <w:t>Wiers</w:t>
      </w:r>
      <w:r w:rsidRPr="009A5D51">
        <w:rPr>
          <w:lang w:val="ru-RU"/>
        </w:rPr>
        <w:t xml:space="preserve">, 2012; </w:t>
      </w:r>
      <w:r>
        <w:t>Schimmenti</w:t>
      </w:r>
      <w:r w:rsidRPr="009A5D51">
        <w:rPr>
          <w:lang w:val="ru-RU"/>
        </w:rPr>
        <w:t xml:space="preserve">, </w:t>
      </w:r>
      <w:r>
        <w:t>Infanti</w:t>
      </w:r>
      <w:r w:rsidRPr="009A5D51">
        <w:rPr>
          <w:lang w:val="ru-RU"/>
        </w:rPr>
        <w:t xml:space="preserve">, </w:t>
      </w:r>
      <w:r>
        <w:t>Badoud</w:t>
      </w:r>
      <w:r w:rsidRPr="009A5D51">
        <w:rPr>
          <w:lang w:val="ru-RU"/>
        </w:rPr>
        <w:t xml:space="preserve">, </w:t>
      </w:r>
      <w:r>
        <w:t>Laloyaux</w:t>
      </w:r>
      <w:r w:rsidRPr="009A5D51">
        <w:rPr>
          <w:lang w:val="ru-RU"/>
        </w:rPr>
        <w:t xml:space="preserve">, &amp; </w:t>
      </w:r>
      <w:r>
        <w:t>Billieux</w:t>
      </w:r>
      <w:r w:rsidRPr="009A5D51">
        <w:rPr>
          <w:lang w:val="ru-RU"/>
        </w:rPr>
        <w:t xml:space="preserve">, 2017; </w:t>
      </w:r>
      <w:r>
        <w:t>Zanetta</w:t>
      </w:r>
      <w:r w:rsidRPr="009A5D51">
        <w:rPr>
          <w:lang w:val="ru-RU"/>
        </w:rPr>
        <w:t>-</w:t>
      </w:r>
      <w:r>
        <w:t>Dauriat</w:t>
      </w:r>
      <w:r w:rsidRPr="009A5D51">
        <w:rPr>
          <w:lang w:val="ru-RU"/>
        </w:rPr>
        <w:t xml:space="preserve"> </w:t>
      </w:r>
      <w:r>
        <w:t>et</w:t>
      </w:r>
      <w:r w:rsidRPr="009A5D51">
        <w:rPr>
          <w:lang w:val="ru-RU"/>
        </w:rPr>
        <w:t xml:space="preserve"> </w:t>
      </w:r>
      <w:r>
        <w:t>al</w:t>
      </w:r>
      <w:r w:rsidRPr="009A5D51">
        <w:rPr>
          <w:lang w:val="ru-RU"/>
        </w:rPr>
        <w:t>., 2011).</w:t>
      </w:r>
    </w:p>
    <w:p w14:paraId="04A4D2A2" w14:textId="77777777" w:rsidR="00EE4EDB" w:rsidRPr="009A5D51" w:rsidRDefault="00000000">
      <w:pPr>
        <w:spacing w:after="0" w:line="360" w:lineRule="auto"/>
        <w:ind w:firstLine="357"/>
        <w:jc w:val="both"/>
        <w:rPr>
          <w:lang w:val="ru-RU"/>
        </w:rPr>
      </w:pPr>
      <w:r w:rsidRPr="009A5D51">
        <w:rPr>
          <w:lang w:val="ru-RU"/>
        </w:rPr>
        <w:t>Чтобы объяснить это противоречие, некоторые авторы утверждали, что негативный потенциал эскапизма связан с его взаимодействием с другими факторами уязвимости, такими как психологический дистресс, низкое психосоциальное благополучие или недостаточность копинг-ресурсов (</w:t>
      </w:r>
      <w:r>
        <w:t>Ballabio</w:t>
      </w:r>
      <w:r w:rsidRPr="009A5D51">
        <w:rPr>
          <w:lang w:val="ru-RU"/>
        </w:rPr>
        <w:t xml:space="preserve"> </w:t>
      </w:r>
      <w:r>
        <w:t>et</w:t>
      </w:r>
      <w:r w:rsidRPr="009A5D51">
        <w:rPr>
          <w:lang w:val="ru-RU"/>
        </w:rPr>
        <w:t xml:space="preserve"> </w:t>
      </w:r>
      <w:r>
        <w:t>al</w:t>
      </w:r>
      <w:r w:rsidRPr="009A5D51">
        <w:rPr>
          <w:lang w:val="ru-RU"/>
        </w:rPr>
        <w:t xml:space="preserve">., 2017; </w:t>
      </w:r>
      <w:r>
        <w:t>Bowditch</w:t>
      </w:r>
      <w:r w:rsidRPr="009A5D51">
        <w:rPr>
          <w:lang w:val="ru-RU"/>
        </w:rPr>
        <w:t xml:space="preserve"> </w:t>
      </w:r>
      <w:r>
        <w:t>et</w:t>
      </w:r>
      <w:r w:rsidRPr="009A5D51">
        <w:rPr>
          <w:lang w:val="ru-RU"/>
        </w:rPr>
        <w:t xml:space="preserve"> </w:t>
      </w:r>
      <w:r>
        <w:t>al</w:t>
      </w:r>
      <w:r w:rsidRPr="009A5D51">
        <w:rPr>
          <w:lang w:val="ru-RU"/>
        </w:rPr>
        <w:t xml:space="preserve">., 2018; </w:t>
      </w:r>
      <w:r>
        <w:t>Demetrovics</w:t>
      </w:r>
      <w:r w:rsidRPr="009A5D51">
        <w:rPr>
          <w:lang w:val="ru-RU"/>
        </w:rPr>
        <w:t xml:space="preserve"> </w:t>
      </w:r>
      <w:r>
        <w:t>et</w:t>
      </w:r>
      <w:r w:rsidRPr="009A5D51">
        <w:rPr>
          <w:lang w:val="ru-RU"/>
        </w:rPr>
        <w:t xml:space="preserve"> </w:t>
      </w:r>
      <w:r>
        <w:t>al</w:t>
      </w:r>
      <w:r w:rsidRPr="009A5D51">
        <w:rPr>
          <w:lang w:val="ru-RU"/>
        </w:rPr>
        <w:t xml:space="preserve">., 2011; </w:t>
      </w:r>
      <w:r>
        <w:t>Kardefelt</w:t>
      </w:r>
      <w:r w:rsidRPr="009A5D51">
        <w:rPr>
          <w:lang w:val="ru-RU"/>
        </w:rPr>
        <w:t>-</w:t>
      </w:r>
      <w:r>
        <w:t>Winther</w:t>
      </w:r>
      <w:r w:rsidRPr="009A5D51">
        <w:rPr>
          <w:lang w:val="ru-RU"/>
        </w:rPr>
        <w:t>, 2014</w:t>
      </w:r>
      <w:r>
        <w:t>b</w:t>
      </w:r>
      <w:r w:rsidRPr="009A5D51">
        <w:rPr>
          <w:lang w:val="ru-RU"/>
        </w:rPr>
        <w:t>, 2014</w:t>
      </w:r>
      <w:r>
        <w:t>c</w:t>
      </w:r>
      <w:r w:rsidRPr="009A5D51">
        <w:rPr>
          <w:lang w:val="ru-RU"/>
        </w:rPr>
        <w:t xml:space="preserve">). Кроме того, в ряде работ высказывалось предположение, что взаимодействие между негативным аффектом и эскапизмом играет ключевую роль в </w:t>
      </w:r>
      <w:r>
        <w:t>PG</w:t>
      </w:r>
      <w:r w:rsidRPr="009A5D51">
        <w:rPr>
          <w:lang w:val="ru-RU"/>
        </w:rPr>
        <w:t xml:space="preserve"> (</w:t>
      </w:r>
      <w:r>
        <w:t>Billieux</w:t>
      </w:r>
      <w:r w:rsidRPr="009A5D51">
        <w:rPr>
          <w:lang w:val="ru-RU"/>
        </w:rPr>
        <w:t xml:space="preserve"> </w:t>
      </w:r>
      <w:r>
        <w:t>et</w:t>
      </w:r>
      <w:r w:rsidRPr="009A5D51">
        <w:rPr>
          <w:lang w:val="ru-RU"/>
        </w:rPr>
        <w:t xml:space="preserve"> </w:t>
      </w:r>
      <w:r>
        <w:t>al</w:t>
      </w:r>
      <w:r w:rsidRPr="009A5D51">
        <w:rPr>
          <w:lang w:val="ru-RU"/>
        </w:rPr>
        <w:t xml:space="preserve">., 2015; </w:t>
      </w:r>
      <w:r>
        <w:t>Bowditch</w:t>
      </w:r>
      <w:r w:rsidRPr="009A5D51">
        <w:rPr>
          <w:lang w:val="ru-RU"/>
        </w:rPr>
        <w:t xml:space="preserve"> </w:t>
      </w:r>
      <w:r>
        <w:t>et</w:t>
      </w:r>
      <w:r w:rsidRPr="009A5D51">
        <w:rPr>
          <w:lang w:val="ru-RU"/>
        </w:rPr>
        <w:t xml:space="preserve"> </w:t>
      </w:r>
      <w:r>
        <w:t>al</w:t>
      </w:r>
      <w:r w:rsidRPr="009A5D51">
        <w:rPr>
          <w:lang w:val="ru-RU"/>
        </w:rPr>
        <w:t xml:space="preserve">., 2018; </w:t>
      </w:r>
      <w:r>
        <w:t>Chang</w:t>
      </w:r>
      <w:r w:rsidRPr="009A5D51">
        <w:rPr>
          <w:lang w:val="ru-RU"/>
        </w:rPr>
        <w:t xml:space="preserve">, </w:t>
      </w:r>
      <w:r>
        <w:t>Hsieh</w:t>
      </w:r>
      <w:r w:rsidRPr="009A5D51">
        <w:rPr>
          <w:lang w:val="ru-RU"/>
        </w:rPr>
        <w:t xml:space="preserve">, &amp; </w:t>
      </w:r>
      <w:r>
        <w:t>Lin</w:t>
      </w:r>
      <w:r w:rsidRPr="009A5D51">
        <w:rPr>
          <w:lang w:val="ru-RU"/>
        </w:rPr>
        <w:t xml:space="preserve">, 2018; </w:t>
      </w:r>
      <w:r>
        <w:t>Kardefelt</w:t>
      </w:r>
      <w:r w:rsidRPr="009A5D51">
        <w:rPr>
          <w:lang w:val="ru-RU"/>
        </w:rPr>
        <w:t>-</w:t>
      </w:r>
      <w:r>
        <w:t>Winther</w:t>
      </w:r>
      <w:r w:rsidRPr="009A5D51">
        <w:rPr>
          <w:lang w:val="ru-RU"/>
        </w:rPr>
        <w:t>, 2014</w:t>
      </w:r>
      <w:r>
        <w:t>a</w:t>
      </w:r>
      <w:r w:rsidRPr="009A5D51">
        <w:rPr>
          <w:lang w:val="ru-RU"/>
        </w:rPr>
        <w:t xml:space="preserve">; </w:t>
      </w:r>
      <w:r>
        <w:t>Maroney</w:t>
      </w:r>
      <w:r w:rsidRPr="009A5D51">
        <w:rPr>
          <w:lang w:val="ru-RU"/>
        </w:rPr>
        <w:t xml:space="preserve"> </w:t>
      </w:r>
      <w:r>
        <w:t>et</w:t>
      </w:r>
      <w:r w:rsidRPr="009A5D51">
        <w:rPr>
          <w:lang w:val="ru-RU"/>
        </w:rPr>
        <w:t xml:space="preserve"> </w:t>
      </w:r>
      <w:r>
        <w:t>al</w:t>
      </w:r>
      <w:r w:rsidRPr="009A5D51">
        <w:rPr>
          <w:lang w:val="ru-RU"/>
        </w:rPr>
        <w:t xml:space="preserve">., 2018). Например, </w:t>
      </w:r>
      <w:r>
        <w:t>Kardefelt</w:t>
      </w:r>
      <w:r w:rsidRPr="009A5D51">
        <w:rPr>
          <w:lang w:val="ru-RU"/>
        </w:rPr>
        <w:t>-</w:t>
      </w:r>
      <w:r>
        <w:t>Winther</w:t>
      </w:r>
      <w:r w:rsidRPr="009A5D51">
        <w:rPr>
          <w:lang w:val="ru-RU"/>
        </w:rPr>
        <w:t xml:space="preserve"> (2014</w:t>
      </w:r>
      <w:r>
        <w:t>a</w:t>
      </w:r>
      <w:r w:rsidRPr="009A5D51">
        <w:rPr>
          <w:lang w:val="ru-RU"/>
        </w:rPr>
        <w:t xml:space="preserve">) показал, что эскапизм опосредовал связь между дистрессом и проблемным использованием </w:t>
      </w:r>
      <w:r>
        <w:t>WoW</w:t>
      </w:r>
      <w:r w:rsidRPr="009A5D51">
        <w:rPr>
          <w:lang w:val="ru-RU"/>
        </w:rPr>
        <w:t>. В другом исследовании (</w:t>
      </w:r>
      <w:r>
        <w:t>Kir</w:t>
      </w:r>
      <w:r w:rsidRPr="009A5D51">
        <w:rPr>
          <w:lang w:val="ru-RU"/>
        </w:rPr>
        <w:t>á</w:t>
      </w:r>
      <w:r>
        <w:t>ly</w:t>
      </w:r>
      <w:r w:rsidRPr="009A5D51">
        <w:rPr>
          <w:lang w:val="ru-RU"/>
        </w:rPr>
        <w:t xml:space="preserve"> </w:t>
      </w:r>
      <w:r>
        <w:t>et</w:t>
      </w:r>
      <w:r w:rsidRPr="009A5D51">
        <w:rPr>
          <w:lang w:val="ru-RU"/>
        </w:rPr>
        <w:t xml:space="preserve"> </w:t>
      </w:r>
      <w:r>
        <w:t>al</w:t>
      </w:r>
      <w:r w:rsidRPr="009A5D51">
        <w:rPr>
          <w:lang w:val="ru-RU"/>
        </w:rPr>
        <w:t xml:space="preserve">., 2015) было показано, что психиатрическая симптоматика была связана с </w:t>
      </w:r>
      <w:r>
        <w:t>PG</w:t>
      </w:r>
      <w:r w:rsidRPr="009A5D51">
        <w:rPr>
          <w:lang w:val="ru-RU"/>
        </w:rPr>
        <w:t xml:space="preserve"> как напрямую, так и косвенно - соответственно через мотивы эскапизма и соревнования - у </w:t>
      </w:r>
      <w:r w:rsidRPr="009A5D51">
        <w:rPr>
          <w:lang w:val="ru-RU"/>
        </w:rPr>
        <w:lastRenderedPageBreak/>
        <w:t xml:space="preserve">выборки онлайн-игроков. Кроме того, </w:t>
      </w:r>
      <w:r>
        <w:t>Billieux</w:t>
      </w:r>
      <w:r w:rsidRPr="009A5D51">
        <w:rPr>
          <w:lang w:val="ru-RU"/>
        </w:rPr>
        <w:t xml:space="preserve"> </w:t>
      </w:r>
      <w:r>
        <w:t>et</w:t>
      </w:r>
      <w:r w:rsidRPr="009A5D51">
        <w:rPr>
          <w:lang w:val="ru-RU"/>
        </w:rPr>
        <w:t xml:space="preserve"> </w:t>
      </w:r>
      <w:r>
        <w:t>al</w:t>
      </w:r>
      <w:r w:rsidRPr="009A5D51">
        <w:rPr>
          <w:lang w:val="ru-RU"/>
        </w:rPr>
        <w:t xml:space="preserve">. (2015) предположили, что у участников с повышенным уровнем негативного аффекта в их выборке из 1057 игроков </w:t>
      </w:r>
      <w:r>
        <w:t>WoW</w:t>
      </w:r>
      <w:r w:rsidRPr="009A5D51">
        <w:rPr>
          <w:lang w:val="ru-RU"/>
        </w:rPr>
        <w:t xml:space="preserve"> </w:t>
      </w:r>
      <w:r>
        <w:t>PG</w:t>
      </w:r>
      <w:r w:rsidRPr="009A5D51">
        <w:rPr>
          <w:lang w:val="ru-RU"/>
        </w:rPr>
        <w:t xml:space="preserve">, вероятно, было результатом неадаптивной стратегии совладания с негативным аффектом и негативными жизненными событиями. Наконец, </w:t>
      </w:r>
      <w:r>
        <w:t>Maroney</w:t>
      </w:r>
      <w:r w:rsidRPr="009A5D51">
        <w:rPr>
          <w:lang w:val="ru-RU"/>
        </w:rPr>
        <w:t xml:space="preserve"> </w:t>
      </w:r>
      <w:r>
        <w:t>et</w:t>
      </w:r>
      <w:r w:rsidRPr="009A5D51">
        <w:rPr>
          <w:lang w:val="ru-RU"/>
        </w:rPr>
        <w:t xml:space="preserve"> </w:t>
      </w:r>
      <w:r>
        <w:t>al</w:t>
      </w:r>
      <w:r w:rsidRPr="009A5D51">
        <w:rPr>
          <w:lang w:val="ru-RU"/>
        </w:rPr>
        <w:t xml:space="preserve">. (2018) недавно обнаружили, что мотивы эскапизма частично опосредуют значимые эффекты депрессии, одиночества и социальной тревожности на </w:t>
      </w:r>
      <w:r>
        <w:t>PG</w:t>
      </w:r>
      <w:r w:rsidRPr="009A5D51">
        <w:rPr>
          <w:lang w:val="ru-RU"/>
        </w:rPr>
        <w:t xml:space="preserve"> среди игроков в шутеры от первого лица и </w:t>
      </w:r>
      <w:r>
        <w:t>MMORPG</w:t>
      </w:r>
      <w:r w:rsidRPr="009A5D51">
        <w:rPr>
          <w:lang w:val="ru-RU"/>
        </w:rPr>
        <w:t xml:space="preserve">. Однако на сегодняшний день ни одно исследование не рассматривало связь между </w:t>
      </w:r>
      <w:r>
        <w:t>ED</w:t>
      </w:r>
      <w:r w:rsidRPr="009A5D51">
        <w:rPr>
          <w:lang w:val="ru-RU"/>
        </w:rPr>
        <w:t xml:space="preserve"> и мотивами эскапизма при проблемном использовании </w:t>
      </w:r>
      <w:r>
        <w:t>MMORPG</w:t>
      </w:r>
      <w:r w:rsidRPr="009A5D51">
        <w:rPr>
          <w:lang w:val="ru-RU"/>
        </w:rPr>
        <w:t>.</w:t>
      </w:r>
    </w:p>
    <w:p w14:paraId="42314B12" w14:textId="77777777" w:rsidR="00EE4EDB" w:rsidRPr="009A5D51" w:rsidRDefault="00000000">
      <w:pPr>
        <w:pStyle w:val="21"/>
        <w:rPr>
          <w:lang w:val="ru-RU"/>
        </w:rPr>
      </w:pPr>
      <w:r w:rsidRPr="009A5D51">
        <w:rPr>
          <w:rFonts w:ascii="Times New Roman" w:eastAsia="Times New Roman" w:hAnsi="Times New Roman"/>
          <w:lang w:val="ru-RU"/>
        </w:rPr>
        <w:t>Настоящее исследование</w:t>
      </w:r>
    </w:p>
    <w:p w14:paraId="7819D08C" w14:textId="77777777" w:rsidR="00EE4EDB" w:rsidRPr="009A5D51" w:rsidRDefault="00000000">
      <w:pPr>
        <w:spacing w:after="0" w:line="360" w:lineRule="auto"/>
        <w:ind w:firstLine="357"/>
        <w:jc w:val="both"/>
        <w:rPr>
          <w:lang w:val="ru-RU"/>
        </w:rPr>
      </w:pPr>
      <w:r w:rsidRPr="009A5D51">
        <w:rPr>
          <w:lang w:val="ru-RU"/>
        </w:rPr>
        <w:t xml:space="preserve">Целью настоящего исследования было проверить связи между </w:t>
      </w:r>
      <w:r>
        <w:t>ED</w:t>
      </w:r>
      <w:r w:rsidRPr="009A5D51">
        <w:rPr>
          <w:lang w:val="ru-RU"/>
        </w:rPr>
        <w:t xml:space="preserve">, мотивами эскапизма и </w:t>
      </w:r>
      <w:r>
        <w:t>PG</w:t>
      </w:r>
      <w:r w:rsidRPr="009A5D51">
        <w:rPr>
          <w:lang w:val="ru-RU"/>
        </w:rPr>
        <w:t xml:space="preserve">. Более конкретно, мы предположили, что игроки </w:t>
      </w:r>
      <w:r>
        <w:t>WoW</w:t>
      </w:r>
      <w:r w:rsidRPr="009A5D51">
        <w:rPr>
          <w:lang w:val="ru-RU"/>
        </w:rPr>
        <w:t xml:space="preserve"> с более высоким уровнем </w:t>
      </w:r>
      <w:r>
        <w:t>ED</w:t>
      </w:r>
      <w:r w:rsidRPr="009A5D51">
        <w:rPr>
          <w:lang w:val="ru-RU"/>
        </w:rPr>
        <w:t xml:space="preserve"> используют видеоигры для ухода от негативного аффекта и что эта более выраженная потребность уйти в виртуальную реальность, в свою очередь, запускает </w:t>
      </w:r>
      <w:r>
        <w:t>PG</w:t>
      </w:r>
      <w:r w:rsidRPr="009A5D51">
        <w:rPr>
          <w:lang w:val="ru-RU"/>
        </w:rPr>
        <w:t xml:space="preserve">. Таким образом, настоящее исследование потенциально позволяет пролить свет на механизмы, лежащие в основе </w:t>
      </w:r>
      <w:r>
        <w:t>PG</w:t>
      </w:r>
      <w:r w:rsidRPr="009A5D51">
        <w:rPr>
          <w:lang w:val="ru-RU"/>
        </w:rPr>
        <w:t>, и тем самым информировать клиническую практику. В соответствии с теоретической рамкой исследования были сформулированы три операциональные гипотезы:</w:t>
      </w:r>
    </w:p>
    <w:p w14:paraId="116270FD" w14:textId="77777777" w:rsidR="00EE4EDB" w:rsidRPr="009A5D51" w:rsidRDefault="00000000">
      <w:pPr>
        <w:spacing w:after="0" w:line="360" w:lineRule="auto"/>
        <w:ind w:firstLine="357"/>
        <w:jc w:val="both"/>
        <w:rPr>
          <w:lang w:val="ru-RU"/>
        </w:rPr>
      </w:pPr>
      <w:r>
        <w:t>H</w:t>
      </w:r>
      <w:r w:rsidRPr="009A5D51">
        <w:rPr>
          <w:lang w:val="ru-RU"/>
        </w:rPr>
        <w:t>1: дисрегуляция эмоций статистически предсказывает проблемное игровое поведение.</w:t>
      </w:r>
    </w:p>
    <w:p w14:paraId="08956392" w14:textId="77777777" w:rsidR="00EE4EDB" w:rsidRPr="009A5D51" w:rsidRDefault="00000000">
      <w:pPr>
        <w:spacing w:after="0" w:line="360" w:lineRule="auto"/>
        <w:ind w:firstLine="357"/>
        <w:jc w:val="both"/>
        <w:rPr>
          <w:lang w:val="ru-RU"/>
        </w:rPr>
      </w:pPr>
      <w:r>
        <w:t>H</w:t>
      </w:r>
      <w:r w:rsidRPr="009A5D51">
        <w:rPr>
          <w:lang w:val="ru-RU"/>
        </w:rPr>
        <w:t>2: дисрегуляция эмоций статистически предсказывает эскапизм.</w:t>
      </w:r>
    </w:p>
    <w:p w14:paraId="66197A5B" w14:textId="77777777" w:rsidR="00EE4EDB" w:rsidRPr="009A5D51" w:rsidRDefault="00000000">
      <w:pPr>
        <w:spacing w:after="0" w:line="360" w:lineRule="auto"/>
        <w:ind w:firstLine="357"/>
        <w:jc w:val="both"/>
        <w:rPr>
          <w:lang w:val="ru-RU"/>
        </w:rPr>
      </w:pPr>
      <w:r>
        <w:t>H</w:t>
      </w:r>
      <w:r w:rsidRPr="009A5D51">
        <w:rPr>
          <w:lang w:val="ru-RU"/>
        </w:rPr>
        <w:t>3: дисрегуляция эмоций статистически предсказывает проблемное игровое поведение через эскапизм.</w:t>
      </w:r>
    </w:p>
    <w:p w14:paraId="7A77D63D" w14:textId="77777777" w:rsidR="00EE4EDB" w:rsidRPr="009A5D51" w:rsidRDefault="00000000">
      <w:pPr>
        <w:pStyle w:val="1"/>
        <w:rPr>
          <w:lang w:val="ru-RU"/>
        </w:rPr>
      </w:pPr>
      <w:r w:rsidRPr="009A5D51">
        <w:rPr>
          <w:rFonts w:ascii="Times New Roman" w:eastAsia="Times New Roman" w:hAnsi="Times New Roman"/>
          <w:lang w:val="ru-RU"/>
        </w:rPr>
        <w:t>Методы</w:t>
      </w:r>
    </w:p>
    <w:p w14:paraId="6262D28D" w14:textId="77777777" w:rsidR="00EE4EDB" w:rsidRPr="009A5D51" w:rsidRDefault="00000000">
      <w:pPr>
        <w:pStyle w:val="21"/>
        <w:rPr>
          <w:lang w:val="ru-RU"/>
        </w:rPr>
      </w:pPr>
      <w:r w:rsidRPr="009A5D51">
        <w:rPr>
          <w:rFonts w:ascii="Times New Roman" w:eastAsia="Times New Roman" w:hAnsi="Times New Roman"/>
          <w:lang w:val="ru-RU"/>
        </w:rPr>
        <w:t>Участники и процедура</w:t>
      </w:r>
    </w:p>
    <w:p w14:paraId="043456C0" w14:textId="77777777" w:rsidR="00EE4EDB" w:rsidRPr="009A5D51" w:rsidRDefault="00000000">
      <w:pPr>
        <w:spacing w:after="0" w:line="360" w:lineRule="auto"/>
        <w:ind w:firstLine="357"/>
        <w:jc w:val="both"/>
        <w:rPr>
          <w:lang w:val="ru-RU"/>
        </w:rPr>
      </w:pPr>
      <w:r w:rsidRPr="009A5D51">
        <w:rPr>
          <w:lang w:val="ru-RU"/>
        </w:rPr>
        <w:t xml:space="preserve">Поскольку каждый игровой жанр обладает собственными особенностями и структурными характеристиками, которые могут оказывать смешивающее влияние на результаты, мы обращались только к игрокам </w:t>
      </w:r>
      <w:r>
        <w:t>MMORPG</w:t>
      </w:r>
      <w:r w:rsidRPr="009A5D51">
        <w:rPr>
          <w:lang w:val="ru-RU"/>
        </w:rPr>
        <w:t xml:space="preserve"> </w:t>
      </w:r>
      <w:r>
        <w:t>WoW</w:t>
      </w:r>
      <w:r w:rsidRPr="009A5D51">
        <w:rPr>
          <w:lang w:val="ru-RU"/>
        </w:rPr>
        <w:t xml:space="preserve">. </w:t>
      </w:r>
      <w:r>
        <w:t>WoW</w:t>
      </w:r>
      <w:r w:rsidRPr="009A5D51">
        <w:rPr>
          <w:lang w:val="ru-RU"/>
        </w:rPr>
        <w:t xml:space="preserve"> - самая популярная игра в жанре </w:t>
      </w:r>
      <w:r>
        <w:t>MMORPG</w:t>
      </w:r>
      <w:r w:rsidRPr="009A5D51">
        <w:rPr>
          <w:lang w:val="ru-RU"/>
        </w:rPr>
        <w:t xml:space="preserve">, которая и сегодня насчитывает миллионы игроков по всему миру. Именно эта игра уже становилась объектом ряда исследований, направленных на изучение мотивации к игре в </w:t>
      </w:r>
      <w:r>
        <w:t>MMORPG</w:t>
      </w:r>
      <w:r w:rsidRPr="009A5D51">
        <w:rPr>
          <w:lang w:val="ru-RU"/>
        </w:rPr>
        <w:t xml:space="preserve"> и потенциальных психологических факторов, связанных с проблемным игровым поведением (</w:t>
      </w:r>
      <w:r>
        <w:t>Billieux</w:t>
      </w:r>
      <w:r w:rsidRPr="009A5D51">
        <w:rPr>
          <w:lang w:val="ru-RU"/>
        </w:rPr>
        <w:t xml:space="preserve"> </w:t>
      </w:r>
      <w:r>
        <w:t>et</w:t>
      </w:r>
      <w:r w:rsidRPr="009A5D51">
        <w:rPr>
          <w:lang w:val="ru-RU"/>
        </w:rPr>
        <w:t xml:space="preserve"> </w:t>
      </w:r>
      <w:r>
        <w:t>al</w:t>
      </w:r>
      <w:r w:rsidRPr="009A5D51">
        <w:rPr>
          <w:lang w:val="ru-RU"/>
        </w:rPr>
        <w:t xml:space="preserve">., 2013; </w:t>
      </w:r>
      <w:r>
        <w:t>Bowditch</w:t>
      </w:r>
      <w:r w:rsidRPr="009A5D51">
        <w:rPr>
          <w:lang w:val="ru-RU"/>
        </w:rPr>
        <w:t xml:space="preserve"> </w:t>
      </w:r>
      <w:r>
        <w:t>et</w:t>
      </w:r>
      <w:r w:rsidRPr="009A5D51">
        <w:rPr>
          <w:lang w:val="ru-RU"/>
        </w:rPr>
        <w:t xml:space="preserve"> </w:t>
      </w:r>
      <w:r>
        <w:t>al</w:t>
      </w:r>
      <w:r w:rsidRPr="009A5D51">
        <w:rPr>
          <w:lang w:val="ru-RU"/>
        </w:rPr>
        <w:t xml:space="preserve">., 2018; </w:t>
      </w:r>
      <w:r>
        <w:t>Yee</w:t>
      </w:r>
      <w:r w:rsidRPr="009A5D51">
        <w:rPr>
          <w:lang w:val="ru-RU"/>
        </w:rPr>
        <w:t xml:space="preserve">, 2006). В </w:t>
      </w:r>
      <w:r>
        <w:t>WoW</w:t>
      </w:r>
      <w:r w:rsidRPr="009A5D51">
        <w:rPr>
          <w:lang w:val="ru-RU"/>
        </w:rPr>
        <w:t xml:space="preserve"> игроки взаимодействуют друг с другом через настраиваемые аватары в героико-фэнтезийном мире Азерот. Значительная часть игрового процесса строится вокруг кооперации (</w:t>
      </w:r>
      <w:r>
        <w:t>player</w:t>
      </w:r>
      <w:r w:rsidRPr="009A5D51">
        <w:rPr>
          <w:lang w:val="ru-RU"/>
        </w:rPr>
        <w:t xml:space="preserve"> </w:t>
      </w:r>
      <w:r>
        <w:t>vs</w:t>
      </w:r>
      <w:r w:rsidRPr="009A5D51">
        <w:rPr>
          <w:lang w:val="ru-RU"/>
        </w:rPr>
        <w:t xml:space="preserve">. </w:t>
      </w:r>
      <w:r>
        <w:lastRenderedPageBreak/>
        <w:t>environment</w:t>
      </w:r>
      <w:r w:rsidRPr="009A5D51">
        <w:rPr>
          <w:lang w:val="ru-RU"/>
        </w:rPr>
        <w:t>) или соревнования (</w:t>
      </w:r>
      <w:r>
        <w:t>player</w:t>
      </w:r>
      <w:r w:rsidRPr="009A5D51">
        <w:rPr>
          <w:lang w:val="ru-RU"/>
        </w:rPr>
        <w:t xml:space="preserve"> </w:t>
      </w:r>
      <w:r>
        <w:t>vs</w:t>
      </w:r>
      <w:r w:rsidRPr="009A5D51">
        <w:rPr>
          <w:lang w:val="ru-RU"/>
        </w:rPr>
        <w:t xml:space="preserve">. </w:t>
      </w:r>
      <w:r>
        <w:t>player</w:t>
      </w:r>
      <w:r w:rsidRPr="009A5D51">
        <w:rPr>
          <w:lang w:val="ru-RU"/>
        </w:rPr>
        <w:t xml:space="preserve">) с другими игроками (часто через виртуальные социальные сети, называемые </w:t>
      </w:r>
      <w:r>
        <w:t>guilds</w:t>
      </w:r>
      <w:r w:rsidRPr="009A5D51">
        <w:rPr>
          <w:lang w:val="ru-RU"/>
        </w:rPr>
        <w:t>) для выполнения заданий, улучшения навыков и предметов персонажа, а также достижения более высокого внутриигрового рейтинга.</w:t>
      </w:r>
    </w:p>
    <w:p w14:paraId="66F0A9F6" w14:textId="77777777" w:rsidR="00EE4EDB" w:rsidRPr="009A5D51" w:rsidRDefault="00000000">
      <w:pPr>
        <w:spacing w:after="0" w:line="360" w:lineRule="auto"/>
        <w:ind w:firstLine="357"/>
        <w:jc w:val="both"/>
        <w:rPr>
          <w:lang w:val="ru-RU"/>
        </w:rPr>
      </w:pPr>
      <w:r w:rsidRPr="009A5D51">
        <w:rPr>
          <w:lang w:val="ru-RU"/>
        </w:rPr>
        <w:t xml:space="preserve">Участники набирались через объявление, размещенное на официальных форумах </w:t>
      </w:r>
      <w:r>
        <w:t>WoW</w:t>
      </w:r>
      <w:r w:rsidRPr="009A5D51">
        <w:rPr>
          <w:lang w:val="ru-RU"/>
        </w:rPr>
        <w:t xml:space="preserve">, в группах и на страницах </w:t>
      </w:r>
      <w:r>
        <w:t>Facebook</w:t>
      </w:r>
      <w:r w:rsidRPr="009A5D51">
        <w:rPr>
          <w:lang w:val="ru-RU"/>
        </w:rPr>
        <w:t xml:space="preserve">, а также на общих форумах, посвященных видеоиграм. В объявлении кратко излагалась цель исследования и содержалось приглашение принять участие в онлайн-опросе. Опрос начался в мае 2017 года и завершился в июне 2018 года. Критериями включения были свободное владение итальянским языком, активная игра в </w:t>
      </w:r>
      <w:r>
        <w:t>WoW</w:t>
      </w:r>
      <w:r w:rsidRPr="009A5D51">
        <w:rPr>
          <w:lang w:val="ru-RU"/>
        </w:rPr>
        <w:t xml:space="preserve"> и возраст 18 лет или старше. Гарантировалась анонимность (данные, позволяющие идентифицировать игроков, включая их </w:t>
      </w:r>
      <w:r>
        <w:t>IP</w:t>
      </w:r>
      <w:r w:rsidRPr="009A5D51">
        <w:rPr>
          <w:lang w:val="ru-RU"/>
        </w:rPr>
        <w:t>-адрес, не собирались). С помощью структурированного опросника, который предъявлялся вместе со стандартизированными самоотчетами, собирались сведения о социально-демографических переменных, включая пол, возраст и этническую принадлежность, а также об игровых переменных, таких как раса персонажа (например, эльф, человек, орк), фракция (орда или альянс), уровень персонажа, самооценка количества часов игры в неделю и число месяцев, в течение которых участники играли. Самооценка количества часов игры в неделю измерялась как число часов онлайн-игры в течение недели, указанное самим участником. На заполнение опроса требовалось примерно 25 минут.</w:t>
      </w:r>
    </w:p>
    <w:p w14:paraId="39B534A2" w14:textId="77777777" w:rsidR="00EE4EDB" w:rsidRPr="009A5D51" w:rsidRDefault="00000000">
      <w:pPr>
        <w:spacing w:after="0" w:line="360" w:lineRule="auto"/>
        <w:ind w:firstLine="357"/>
        <w:jc w:val="both"/>
        <w:rPr>
          <w:lang w:val="ru-RU"/>
        </w:rPr>
      </w:pPr>
      <w:r w:rsidRPr="009A5D51">
        <w:rPr>
          <w:lang w:val="ru-RU"/>
        </w:rPr>
        <w:t>Всего опрос начали 827 участников. Из них 414 человек (50.06% исходной выборки) полностью завершили опрос. Из этого числа 24 были исключены из анализа по следующим причинам: не указан возраст (</w:t>
      </w:r>
      <w:r>
        <w:t>n</w:t>
      </w:r>
      <w:r w:rsidRPr="009A5D51">
        <w:rPr>
          <w:lang w:val="ru-RU"/>
        </w:rPr>
        <w:t xml:space="preserve"> = 8), аномальное количество часов игры (</w:t>
      </w:r>
      <w:r>
        <w:t>n</w:t>
      </w:r>
      <w:r w:rsidRPr="009A5D51">
        <w:rPr>
          <w:lang w:val="ru-RU"/>
        </w:rPr>
        <w:t xml:space="preserve"> = 1), несоответствие между уровнем предметов и уровнем персонажа (</w:t>
      </w:r>
      <w:r>
        <w:t>n</w:t>
      </w:r>
      <w:r w:rsidRPr="009A5D51">
        <w:rPr>
          <w:lang w:val="ru-RU"/>
        </w:rPr>
        <w:t xml:space="preserve"> = 10), а также невозможные сочетания фракции персонажа и его расы (</w:t>
      </w:r>
      <w:r>
        <w:t>n</w:t>
      </w:r>
      <w:r w:rsidRPr="009A5D51">
        <w:rPr>
          <w:lang w:val="ru-RU"/>
        </w:rPr>
        <w:t xml:space="preserve"> = 5). Итоговая выборка составила 390 игроков. Возраст участников варьировал от 18 до 67 лет (</w:t>
      </w:r>
      <w:r>
        <w:t>M</w:t>
      </w:r>
      <w:r w:rsidRPr="009A5D51">
        <w:rPr>
          <w:lang w:val="ru-RU"/>
        </w:rPr>
        <w:t xml:space="preserve"> = 28.28, </w:t>
      </w:r>
      <w:r>
        <w:t>SD</w:t>
      </w:r>
      <w:r w:rsidRPr="009A5D51">
        <w:rPr>
          <w:lang w:val="ru-RU"/>
        </w:rPr>
        <w:t xml:space="preserve"> = 8.24), при этом в выборке преобладали мужчины (</w:t>
      </w:r>
      <w:r>
        <w:t>n</w:t>
      </w:r>
      <w:r w:rsidRPr="009A5D51">
        <w:rPr>
          <w:lang w:val="ru-RU"/>
        </w:rPr>
        <w:t xml:space="preserve"> = 289, 74.10%).</w:t>
      </w:r>
    </w:p>
    <w:p w14:paraId="77B104C3" w14:textId="77777777" w:rsidR="00EE4EDB" w:rsidRPr="009A5D51" w:rsidRDefault="00000000">
      <w:pPr>
        <w:pStyle w:val="21"/>
        <w:rPr>
          <w:lang w:val="ru-RU"/>
        </w:rPr>
      </w:pPr>
      <w:r w:rsidRPr="009A5D51">
        <w:rPr>
          <w:rFonts w:ascii="Times New Roman" w:eastAsia="Times New Roman" w:hAnsi="Times New Roman"/>
          <w:lang w:val="ru-RU"/>
        </w:rPr>
        <w:t>Инструменты</w:t>
      </w:r>
    </w:p>
    <w:p w14:paraId="5D10ABD8" w14:textId="77777777" w:rsidR="00EE4EDB" w:rsidRPr="009A5D51" w:rsidRDefault="00000000">
      <w:pPr>
        <w:spacing w:after="0" w:line="360" w:lineRule="auto"/>
        <w:ind w:firstLine="357"/>
        <w:jc w:val="both"/>
        <w:rPr>
          <w:lang w:val="ru-RU"/>
        </w:rPr>
      </w:pPr>
      <w:r w:rsidRPr="009A5D51">
        <w:rPr>
          <w:lang w:val="ru-RU"/>
        </w:rPr>
        <w:t>Шкала трудностей регуляции эмоций (</w:t>
      </w:r>
      <w:r>
        <w:t>DERS</w:t>
      </w:r>
      <w:r w:rsidRPr="009A5D51">
        <w:rPr>
          <w:lang w:val="ru-RU"/>
        </w:rPr>
        <w:t xml:space="preserve">-18). </w:t>
      </w:r>
      <w:r>
        <w:t>DERS</w:t>
      </w:r>
      <w:r w:rsidRPr="009A5D51">
        <w:rPr>
          <w:lang w:val="ru-RU"/>
        </w:rPr>
        <w:t xml:space="preserve"> является широко используемым самоотчетным инструментом для измерения трудностей регуляции эмоций. Пункты оцениваются по шкале от 1 (</w:t>
      </w:r>
      <w:r>
        <w:t>almost</w:t>
      </w:r>
      <w:r w:rsidRPr="009A5D51">
        <w:rPr>
          <w:lang w:val="ru-RU"/>
        </w:rPr>
        <w:t xml:space="preserve"> </w:t>
      </w:r>
      <w:r>
        <w:t>never</w:t>
      </w:r>
      <w:r w:rsidRPr="009A5D51">
        <w:rPr>
          <w:lang w:val="ru-RU"/>
        </w:rPr>
        <w:t>) до 5 (</w:t>
      </w:r>
      <w:r>
        <w:t>almost</w:t>
      </w:r>
      <w:r w:rsidRPr="009A5D51">
        <w:rPr>
          <w:lang w:val="ru-RU"/>
        </w:rPr>
        <w:t xml:space="preserve"> </w:t>
      </w:r>
      <w:r>
        <w:t>always</w:t>
      </w:r>
      <w:r w:rsidRPr="009A5D51">
        <w:rPr>
          <w:lang w:val="ru-RU"/>
        </w:rPr>
        <w:t xml:space="preserve">). Баллы по каждой подшкале и общий балл представляют собой сумму соответствующих пунктов (при этом три пункта кодируются в обратном направлении). Более высокие значения </w:t>
      </w:r>
      <w:r>
        <w:t>DERS</w:t>
      </w:r>
      <w:r w:rsidRPr="009A5D51">
        <w:rPr>
          <w:lang w:val="ru-RU"/>
        </w:rPr>
        <w:t xml:space="preserve"> отражают большие </w:t>
      </w:r>
      <w:r w:rsidRPr="009A5D51">
        <w:rPr>
          <w:lang w:val="ru-RU"/>
        </w:rPr>
        <w:lastRenderedPageBreak/>
        <w:t>трудности регуляции эмоций. В данном исследовании использовался итальянский перевод (</w:t>
      </w:r>
      <w:r>
        <w:t>Sighinolfi</w:t>
      </w:r>
      <w:r w:rsidRPr="009A5D51">
        <w:rPr>
          <w:lang w:val="ru-RU"/>
        </w:rPr>
        <w:t xml:space="preserve">, </w:t>
      </w:r>
      <w:r>
        <w:t>Norcini</w:t>
      </w:r>
      <w:r w:rsidRPr="009A5D51">
        <w:rPr>
          <w:lang w:val="ru-RU"/>
        </w:rPr>
        <w:t xml:space="preserve"> </w:t>
      </w:r>
      <w:r>
        <w:t>Pala</w:t>
      </w:r>
      <w:r w:rsidRPr="009A5D51">
        <w:rPr>
          <w:lang w:val="ru-RU"/>
        </w:rPr>
        <w:t xml:space="preserve">, &amp; </w:t>
      </w:r>
      <w:r>
        <w:t>Chiri</w:t>
      </w:r>
      <w:r w:rsidRPr="009A5D51">
        <w:rPr>
          <w:lang w:val="ru-RU"/>
        </w:rPr>
        <w:t xml:space="preserve">, 2010) 18-пунктной версии, предложенной </w:t>
      </w:r>
      <w:r>
        <w:t>Victor</w:t>
      </w:r>
      <w:r w:rsidRPr="009A5D51">
        <w:rPr>
          <w:lang w:val="ru-RU"/>
        </w:rPr>
        <w:t xml:space="preserve"> </w:t>
      </w:r>
      <w:r>
        <w:t>and</w:t>
      </w:r>
      <w:r w:rsidRPr="009A5D51">
        <w:rPr>
          <w:lang w:val="ru-RU"/>
        </w:rPr>
        <w:t xml:space="preserve"> </w:t>
      </w:r>
      <w:r>
        <w:t>Klonsky</w:t>
      </w:r>
      <w:r w:rsidRPr="009A5D51">
        <w:rPr>
          <w:lang w:val="ru-RU"/>
        </w:rPr>
        <w:t xml:space="preserve"> (2016). </w:t>
      </w:r>
      <w:r>
        <w:t>DERS</w:t>
      </w:r>
      <w:r w:rsidRPr="009A5D51">
        <w:rPr>
          <w:lang w:val="ru-RU"/>
        </w:rPr>
        <w:t>-18 включает шесть факторно выделенных подшкал: недостаток эмоционального осознавания (</w:t>
      </w:r>
      <w:r>
        <w:t>Awareness</w:t>
      </w:r>
      <w:r w:rsidRPr="009A5D51">
        <w:rPr>
          <w:lang w:val="ru-RU"/>
        </w:rPr>
        <w:t xml:space="preserve">; например, "Я обращаю внимание на то, что чувствую", пункт оценивается в обратном направлении; коэффициент Кронбаха </w:t>
      </w:r>
      <w:r>
        <w:t>α</w:t>
      </w:r>
      <w:r w:rsidRPr="009A5D51">
        <w:rPr>
          <w:lang w:val="ru-RU"/>
        </w:rPr>
        <w:t xml:space="preserve"> = .68); недостаток эмоциональной ясности (</w:t>
      </w:r>
      <w:r>
        <w:t>Clarity</w:t>
      </w:r>
      <w:r w:rsidRPr="009A5D51">
        <w:rPr>
          <w:lang w:val="ru-RU"/>
        </w:rPr>
        <w:t xml:space="preserve">; например, "Я не понимаю, что именно чувствую"; коэффициент Кронбаха </w:t>
      </w:r>
      <w:r>
        <w:t>α</w:t>
      </w:r>
      <w:r w:rsidRPr="009A5D51">
        <w:rPr>
          <w:lang w:val="ru-RU"/>
        </w:rPr>
        <w:t xml:space="preserve"> = .83); непринятие собственных эмоций в состоянии дистресса (</w:t>
      </w:r>
      <w:r>
        <w:t>Non</w:t>
      </w:r>
      <w:r w:rsidRPr="009A5D51">
        <w:rPr>
          <w:lang w:val="ru-RU"/>
        </w:rPr>
        <w:t>-</w:t>
      </w:r>
      <w:r>
        <w:t>acceptance</w:t>
      </w:r>
      <w:r w:rsidRPr="009A5D51">
        <w:rPr>
          <w:lang w:val="ru-RU"/>
        </w:rPr>
        <w:t xml:space="preserve">; например, "Когда я расстроен(а), мне стыдно за то, что я так себя чувствую"; коэффициент Кронбаха </w:t>
      </w:r>
      <w:r>
        <w:t>α</w:t>
      </w:r>
      <w:r w:rsidRPr="009A5D51">
        <w:rPr>
          <w:lang w:val="ru-RU"/>
        </w:rPr>
        <w:t xml:space="preserve"> = .83); недостаточная способность поддерживать целенаправленное мышление и поведение в состоянии дистресса (</w:t>
      </w:r>
      <w:r>
        <w:t>Goals</w:t>
      </w:r>
      <w:r w:rsidRPr="009A5D51">
        <w:rPr>
          <w:lang w:val="ru-RU"/>
        </w:rPr>
        <w:t xml:space="preserve">; например, "Когда я расстроен(а), мне трудно сосредоточиться на чем-то другом"; коэффициент Кронбаха </w:t>
      </w:r>
      <w:r>
        <w:t>α</w:t>
      </w:r>
      <w:r w:rsidRPr="009A5D51">
        <w:rPr>
          <w:lang w:val="ru-RU"/>
        </w:rPr>
        <w:t xml:space="preserve"> = .88); недостаточная способность контролировать импульсы в состоянии дистресса (</w:t>
      </w:r>
      <w:r>
        <w:t>Impulse</w:t>
      </w:r>
      <w:r w:rsidRPr="009A5D51">
        <w:rPr>
          <w:lang w:val="ru-RU"/>
        </w:rPr>
        <w:t xml:space="preserve">; например, "Когда я расстроен(а), я теряю контроль над своим поведением"; коэффициент Кронбаха </w:t>
      </w:r>
      <w:r>
        <w:t>α</w:t>
      </w:r>
      <w:r w:rsidRPr="009A5D51">
        <w:rPr>
          <w:lang w:val="ru-RU"/>
        </w:rPr>
        <w:t xml:space="preserve"> = .88); и недостаточный доступ к эффективным стратегиям улучшения своего состояния в ситуации дистресса (</w:t>
      </w:r>
      <w:r>
        <w:t>Strategies</w:t>
      </w:r>
      <w:r w:rsidRPr="009A5D51">
        <w:rPr>
          <w:lang w:val="ru-RU"/>
        </w:rPr>
        <w:t xml:space="preserve">; например, "Когда я расстроен(а), я думаю, что останусь в этом состоянии надолго"; коэффициент Кронбаха </w:t>
      </w:r>
      <w:r>
        <w:t>α</w:t>
      </w:r>
      <w:r w:rsidRPr="009A5D51">
        <w:rPr>
          <w:lang w:val="ru-RU"/>
        </w:rPr>
        <w:t xml:space="preserve"> = .84). Значения </w:t>
      </w:r>
      <w:r>
        <w:t>α</w:t>
      </w:r>
      <w:r w:rsidRPr="009A5D51">
        <w:rPr>
          <w:lang w:val="ru-RU"/>
        </w:rPr>
        <w:t xml:space="preserve"> Кронбаха для подшкал в настоящем исследовании были сходны с полученными в других работах (</w:t>
      </w:r>
      <w:r>
        <w:t>Est</w:t>
      </w:r>
      <w:r w:rsidRPr="009A5D51">
        <w:rPr>
          <w:lang w:val="ru-RU"/>
        </w:rPr>
        <w:t>é</w:t>
      </w:r>
      <w:r>
        <w:t>vez</w:t>
      </w:r>
      <w:r w:rsidRPr="009A5D51">
        <w:rPr>
          <w:lang w:val="ru-RU"/>
        </w:rPr>
        <w:t xml:space="preserve"> </w:t>
      </w:r>
      <w:r>
        <w:t>et</w:t>
      </w:r>
      <w:r w:rsidRPr="009A5D51">
        <w:rPr>
          <w:lang w:val="ru-RU"/>
        </w:rPr>
        <w:t xml:space="preserve"> </w:t>
      </w:r>
      <w:r>
        <w:t>al</w:t>
      </w:r>
      <w:r w:rsidRPr="009A5D51">
        <w:rPr>
          <w:lang w:val="ru-RU"/>
        </w:rPr>
        <w:t>., 2017).</w:t>
      </w:r>
    </w:p>
    <w:p w14:paraId="639D52CF" w14:textId="77777777" w:rsidR="00EE4EDB" w:rsidRPr="009A5D51" w:rsidRDefault="00000000">
      <w:pPr>
        <w:spacing w:after="0" w:line="360" w:lineRule="auto"/>
        <w:ind w:firstLine="357"/>
        <w:jc w:val="both"/>
        <w:rPr>
          <w:lang w:val="ru-RU"/>
        </w:rPr>
      </w:pPr>
      <w:r w:rsidRPr="009A5D51">
        <w:rPr>
          <w:lang w:val="ru-RU"/>
        </w:rPr>
        <w:t xml:space="preserve">Тест интернет-зависимости - версия для </w:t>
      </w:r>
      <w:r>
        <w:t>WoW</w:t>
      </w:r>
      <w:r w:rsidRPr="009A5D51">
        <w:rPr>
          <w:lang w:val="ru-RU"/>
        </w:rPr>
        <w:t xml:space="preserve"> (</w:t>
      </w:r>
      <w:r>
        <w:t>IAT</w:t>
      </w:r>
      <w:r w:rsidRPr="009A5D51">
        <w:rPr>
          <w:lang w:val="ru-RU"/>
        </w:rPr>
        <w:t>-</w:t>
      </w:r>
      <w:r>
        <w:t>WoW</w:t>
      </w:r>
      <w:r w:rsidRPr="009A5D51">
        <w:rPr>
          <w:lang w:val="ru-RU"/>
        </w:rPr>
        <w:t xml:space="preserve">). Для оценки </w:t>
      </w:r>
      <w:r>
        <w:t>PG</w:t>
      </w:r>
      <w:r w:rsidRPr="009A5D51">
        <w:rPr>
          <w:lang w:val="ru-RU"/>
        </w:rPr>
        <w:t xml:space="preserve"> использовалась шкала </w:t>
      </w:r>
      <w:r>
        <w:t>IAT</w:t>
      </w:r>
      <w:r w:rsidRPr="009A5D51">
        <w:rPr>
          <w:lang w:val="ru-RU"/>
        </w:rPr>
        <w:t>-</w:t>
      </w:r>
      <w:r>
        <w:t>WoW</w:t>
      </w:r>
      <w:r w:rsidRPr="009A5D51">
        <w:rPr>
          <w:lang w:val="ru-RU"/>
        </w:rPr>
        <w:t xml:space="preserve">. Итальянский перевод </w:t>
      </w:r>
      <w:r>
        <w:t>IAT</w:t>
      </w:r>
      <w:r w:rsidRPr="009A5D51">
        <w:rPr>
          <w:lang w:val="ru-RU"/>
        </w:rPr>
        <w:t xml:space="preserve"> (</w:t>
      </w:r>
      <w:r>
        <w:t>Ferraro</w:t>
      </w:r>
      <w:r w:rsidRPr="009A5D51">
        <w:rPr>
          <w:lang w:val="ru-RU"/>
        </w:rPr>
        <w:t xml:space="preserve">, </w:t>
      </w:r>
      <w:r>
        <w:t>Caci</w:t>
      </w:r>
      <w:r w:rsidRPr="009A5D51">
        <w:rPr>
          <w:lang w:val="ru-RU"/>
        </w:rPr>
        <w:t xml:space="preserve">, </w:t>
      </w:r>
      <w:r>
        <w:t>D</w:t>
      </w:r>
      <w:r w:rsidRPr="009A5D51">
        <w:rPr>
          <w:lang w:val="ru-RU"/>
        </w:rPr>
        <w:t>’</w:t>
      </w:r>
      <w:r>
        <w:t>Amico</w:t>
      </w:r>
      <w:r w:rsidRPr="009A5D51">
        <w:rPr>
          <w:lang w:val="ru-RU"/>
        </w:rPr>
        <w:t xml:space="preserve">, &amp; </w:t>
      </w:r>
      <w:r>
        <w:t>Blasi</w:t>
      </w:r>
      <w:r w:rsidRPr="009A5D51">
        <w:rPr>
          <w:lang w:val="ru-RU"/>
        </w:rPr>
        <w:t xml:space="preserve">, 2007) был адаптирован специально для </w:t>
      </w:r>
      <w:r>
        <w:t>WoW</w:t>
      </w:r>
      <w:r w:rsidRPr="009A5D51">
        <w:rPr>
          <w:lang w:val="ru-RU"/>
        </w:rPr>
        <w:t xml:space="preserve">, а не для Интернета в целом, в соответствии с рекомендациями </w:t>
      </w:r>
      <w:r>
        <w:t>Billieux</w:t>
      </w:r>
      <w:r w:rsidRPr="009A5D51">
        <w:rPr>
          <w:lang w:val="ru-RU"/>
        </w:rPr>
        <w:t xml:space="preserve"> </w:t>
      </w:r>
      <w:r>
        <w:t>et</w:t>
      </w:r>
      <w:r w:rsidRPr="009A5D51">
        <w:rPr>
          <w:lang w:val="ru-RU"/>
        </w:rPr>
        <w:t xml:space="preserve"> </w:t>
      </w:r>
      <w:r>
        <w:t>al</w:t>
      </w:r>
      <w:r w:rsidRPr="009A5D51">
        <w:rPr>
          <w:lang w:val="ru-RU"/>
        </w:rPr>
        <w:t xml:space="preserve">. (2013, 2015). Эта адаптированная версия </w:t>
      </w:r>
      <w:r>
        <w:t>IAT</w:t>
      </w:r>
      <w:r w:rsidRPr="009A5D51">
        <w:rPr>
          <w:lang w:val="ru-RU"/>
        </w:rPr>
        <w:t xml:space="preserve"> включала 20 пунктов, оцениваемых по 5-балльной шкале Лайкерта и отражающих аддиктивное использование </w:t>
      </w:r>
      <w:r>
        <w:t>WoW</w:t>
      </w:r>
      <w:r w:rsidRPr="009A5D51">
        <w:rPr>
          <w:lang w:val="ru-RU"/>
        </w:rPr>
        <w:t xml:space="preserve"> и связанные с ним негативные последствия в различных сферах повседневной жизни (например, "Случалось ли вам играть в </w:t>
      </w:r>
      <w:r>
        <w:t>WoW</w:t>
      </w:r>
      <w:r w:rsidRPr="009A5D51">
        <w:rPr>
          <w:lang w:val="ru-RU"/>
        </w:rPr>
        <w:t xml:space="preserve"> дольше, чем вы изначально намеревались?"). Для каждого пункта респонденты выбирали один из пяти вариантов ответа, кодируемых от 1 до 5 (</w:t>
      </w:r>
      <w:r>
        <w:t>never</w:t>
      </w:r>
      <w:r w:rsidRPr="009A5D51">
        <w:rPr>
          <w:lang w:val="ru-RU"/>
        </w:rPr>
        <w:t xml:space="preserve">, </w:t>
      </w:r>
      <w:r>
        <w:t>rarely</w:t>
      </w:r>
      <w:r w:rsidRPr="009A5D51">
        <w:rPr>
          <w:lang w:val="ru-RU"/>
        </w:rPr>
        <w:t xml:space="preserve">, </w:t>
      </w:r>
      <w:r>
        <w:t>occasionally</w:t>
      </w:r>
      <w:r w:rsidRPr="009A5D51">
        <w:rPr>
          <w:lang w:val="ru-RU"/>
        </w:rPr>
        <w:t xml:space="preserve">, </w:t>
      </w:r>
      <w:r>
        <w:t>often</w:t>
      </w:r>
      <w:r w:rsidRPr="009A5D51">
        <w:rPr>
          <w:lang w:val="ru-RU"/>
        </w:rPr>
        <w:t xml:space="preserve"> и </w:t>
      </w:r>
      <w:r>
        <w:t>always</w:t>
      </w:r>
      <w:r w:rsidRPr="009A5D51">
        <w:rPr>
          <w:lang w:val="ru-RU"/>
        </w:rPr>
        <w:t xml:space="preserve">). Более высокие значения </w:t>
      </w:r>
      <w:r>
        <w:t>IAT</w:t>
      </w:r>
      <w:r w:rsidRPr="009A5D51">
        <w:rPr>
          <w:lang w:val="ru-RU"/>
        </w:rPr>
        <w:t>-</w:t>
      </w:r>
      <w:r>
        <w:t>WoW</w:t>
      </w:r>
      <w:r w:rsidRPr="009A5D51">
        <w:rPr>
          <w:lang w:val="ru-RU"/>
        </w:rPr>
        <w:t xml:space="preserve"> указывали на более высокий уровень проблемной вовлеченности в </w:t>
      </w:r>
      <w:r>
        <w:t>WoW</w:t>
      </w:r>
      <w:r w:rsidRPr="009A5D51">
        <w:rPr>
          <w:lang w:val="ru-RU"/>
        </w:rPr>
        <w:t xml:space="preserve">. В настоящем исследовании коэффициент Кронбаха </w:t>
      </w:r>
      <w:r>
        <w:t>α</w:t>
      </w:r>
      <w:r w:rsidRPr="009A5D51">
        <w:rPr>
          <w:lang w:val="ru-RU"/>
        </w:rPr>
        <w:t xml:space="preserve"> для </w:t>
      </w:r>
      <w:r>
        <w:t>IAT</w:t>
      </w:r>
      <w:r w:rsidRPr="009A5D51">
        <w:rPr>
          <w:lang w:val="ru-RU"/>
        </w:rPr>
        <w:t>-</w:t>
      </w:r>
      <w:r>
        <w:t>WoW</w:t>
      </w:r>
      <w:r w:rsidRPr="009A5D51">
        <w:rPr>
          <w:lang w:val="ru-RU"/>
        </w:rPr>
        <w:t xml:space="preserve"> составил .88, что сопоставимо с данными других исследований (</w:t>
      </w:r>
      <w:r>
        <w:t>Billieux</w:t>
      </w:r>
      <w:r w:rsidRPr="009A5D51">
        <w:rPr>
          <w:lang w:val="ru-RU"/>
        </w:rPr>
        <w:t xml:space="preserve"> </w:t>
      </w:r>
      <w:r>
        <w:t>et</w:t>
      </w:r>
      <w:r w:rsidRPr="009A5D51">
        <w:rPr>
          <w:lang w:val="ru-RU"/>
        </w:rPr>
        <w:t xml:space="preserve"> </w:t>
      </w:r>
      <w:r>
        <w:t>al</w:t>
      </w:r>
      <w:r w:rsidRPr="009A5D51">
        <w:rPr>
          <w:lang w:val="ru-RU"/>
        </w:rPr>
        <w:t>., 2013, 2015).</w:t>
      </w:r>
    </w:p>
    <w:p w14:paraId="257ECB22" w14:textId="77777777" w:rsidR="00EE4EDB" w:rsidRPr="009A5D51" w:rsidRDefault="00000000">
      <w:pPr>
        <w:spacing w:after="0" w:line="360" w:lineRule="auto"/>
        <w:ind w:firstLine="357"/>
        <w:jc w:val="both"/>
        <w:rPr>
          <w:lang w:val="ru-RU"/>
        </w:rPr>
      </w:pPr>
      <w:r w:rsidRPr="009A5D51">
        <w:rPr>
          <w:lang w:val="ru-RU"/>
        </w:rPr>
        <w:t xml:space="preserve">Опросник мотивации к игре в онлайн-игры - версия для </w:t>
      </w:r>
      <w:r>
        <w:t>WoW</w:t>
      </w:r>
      <w:r w:rsidRPr="009A5D51">
        <w:rPr>
          <w:lang w:val="ru-RU"/>
        </w:rPr>
        <w:t xml:space="preserve"> (</w:t>
      </w:r>
      <w:r>
        <w:t>MPOGQ</w:t>
      </w:r>
      <w:r w:rsidRPr="009A5D51">
        <w:rPr>
          <w:lang w:val="ru-RU"/>
        </w:rPr>
        <w:t>-</w:t>
      </w:r>
      <w:r>
        <w:t>WoW</w:t>
      </w:r>
      <w:r w:rsidRPr="009A5D51">
        <w:rPr>
          <w:lang w:val="ru-RU"/>
        </w:rPr>
        <w:t xml:space="preserve">). </w:t>
      </w:r>
      <w:r>
        <w:t>MPOGQ</w:t>
      </w:r>
      <w:r w:rsidRPr="009A5D51">
        <w:rPr>
          <w:lang w:val="ru-RU"/>
        </w:rPr>
        <w:t xml:space="preserve">, разработанный </w:t>
      </w:r>
      <w:r>
        <w:t>Yee</w:t>
      </w:r>
      <w:r w:rsidRPr="009A5D51">
        <w:rPr>
          <w:lang w:val="ru-RU"/>
        </w:rPr>
        <w:t xml:space="preserve"> (2006), измеряет причины, по которым игроки вовлекаются в </w:t>
      </w:r>
      <w:r>
        <w:t>MMORPG</w:t>
      </w:r>
      <w:r w:rsidRPr="009A5D51">
        <w:rPr>
          <w:lang w:val="ru-RU"/>
        </w:rPr>
        <w:t xml:space="preserve">. В настоящем исследовании оригинальная версия была адаптирована так, чтобы относиться </w:t>
      </w:r>
      <w:r w:rsidRPr="009A5D51">
        <w:rPr>
          <w:lang w:val="ru-RU"/>
        </w:rPr>
        <w:lastRenderedPageBreak/>
        <w:t xml:space="preserve">только к </w:t>
      </w:r>
      <w:r>
        <w:t>WoW</w:t>
      </w:r>
      <w:r w:rsidRPr="009A5D51">
        <w:rPr>
          <w:lang w:val="ru-RU"/>
        </w:rPr>
        <w:t xml:space="preserve">, по процедуре, использованной </w:t>
      </w:r>
      <w:r>
        <w:t>Billieux</w:t>
      </w:r>
      <w:r w:rsidRPr="009A5D51">
        <w:rPr>
          <w:lang w:val="ru-RU"/>
        </w:rPr>
        <w:t xml:space="preserve"> </w:t>
      </w:r>
      <w:r>
        <w:t>et</w:t>
      </w:r>
      <w:r w:rsidRPr="009A5D51">
        <w:rPr>
          <w:lang w:val="ru-RU"/>
        </w:rPr>
        <w:t xml:space="preserve"> </w:t>
      </w:r>
      <w:r>
        <w:t>al</w:t>
      </w:r>
      <w:r w:rsidRPr="009A5D51">
        <w:rPr>
          <w:lang w:val="ru-RU"/>
        </w:rPr>
        <w:t xml:space="preserve">. (2013). Опросник измеряет три широкие мотивационные категории, разделенные на 10 более частных мотивов: </w:t>
      </w:r>
      <w:r>
        <w:t>Achievement</w:t>
      </w:r>
      <w:r w:rsidRPr="009A5D51">
        <w:rPr>
          <w:lang w:val="ru-RU"/>
        </w:rPr>
        <w:t xml:space="preserve"> (продвижение, соревнование и механика), </w:t>
      </w:r>
      <w:r>
        <w:t>Social</w:t>
      </w:r>
      <w:r w:rsidRPr="009A5D51">
        <w:rPr>
          <w:lang w:val="ru-RU"/>
        </w:rPr>
        <w:t xml:space="preserve"> (социализация, отношения и командное взаимодействие) и </w:t>
      </w:r>
      <w:r>
        <w:t>Immersion</w:t>
      </w:r>
      <w:r w:rsidRPr="009A5D51">
        <w:rPr>
          <w:lang w:val="ru-RU"/>
        </w:rPr>
        <w:t xml:space="preserve"> (кастомизация, эскапизм, исследование и ролевая игра). В соответствии с гипотезами настоящего исследования использовались только пункты шкалы эскапизма. Шкала эскапизма измеряет вовлеченность в видеоигру ради расслабления и/или ухода от проблем реальной жизни (например, "Как часто вы играете в </w:t>
      </w:r>
      <w:r>
        <w:t>WoW</w:t>
      </w:r>
      <w:r w:rsidRPr="009A5D51">
        <w:rPr>
          <w:lang w:val="ru-RU"/>
        </w:rPr>
        <w:t xml:space="preserve"> для того, чтобы не думать о некоторых своих проблемах или тревогах в реальной жизни?"). Участники оценивали каждое высказывание по 5-балльной шкале Лайкерта; более высокие баллы указывали на более выраженные мотивы эскапизма. В настоящем исследовании коэффициент Кронбаха </w:t>
      </w:r>
      <w:r>
        <w:t>α</w:t>
      </w:r>
      <w:r w:rsidRPr="009A5D51">
        <w:rPr>
          <w:lang w:val="ru-RU"/>
        </w:rPr>
        <w:t xml:space="preserve"> для шкалы эскапизма составил .69, что сопоставимо с данными других исследований (</w:t>
      </w:r>
      <w:r>
        <w:t>Billieux</w:t>
      </w:r>
      <w:r w:rsidRPr="009A5D51">
        <w:rPr>
          <w:lang w:val="ru-RU"/>
        </w:rPr>
        <w:t xml:space="preserve"> </w:t>
      </w:r>
      <w:r>
        <w:t>et</w:t>
      </w:r>
      <w:r w:rsidRPr="009A5D51">
        <w:rPr>
          <w:lang w:val="ru-RU"/>
        </w:rPr>
        <w:t xml:space="preserve"> </w:t>
      </w:r>
      <w:r>
        <w:t>al</w:t>
      </w:r>
      <w:r w:rsidRPr="009A5D51">
        <w:rPr>
          <w:lang w:val="ru-RU"/>
        </w:rPr>
        <w:t>., 2013, 2015).</w:t>
      </w:r>
    </w:p>
    <w:p w14:paraId="0C439B77" w14:textId="77777777" w:rsidR="00EE4EDB" w:rsidRPr="009A5D51" w:rsidRDefault="00000000">
      <w:pPr>
        <w:pStyle w:val="21"/>
        <w:rPr>
          <w:lang w:val="ru-RU"/>
        </w:rPr>
      </w:pPr>
      <w:r w:rsidRPr="009A5D51">
        <w:rPr>
          <w:rFonts w:ascii="Times New Roman" w:eastAsia="Times New Roman" w:hAnsi="Times New Roman"/>
          <w:lang w:val="ru-RU"/>
        </w:rPr>
        <w:t>Модель измерения</w:t>
      </w:r>
    </w:p>
    <w:p w14:paraId="18AFDBFB" w14:textId="77777777" w:rsidR="00EE4EDB" w:rsidRPr="009A5D51" w:rsidRDefault="00000000">
      <w:pPr>
        <w:spacing w:after="0" w:line="360" w:lineRule="auto"/>
        <w:ind w:firstLine="357"/>
        <w:jc w:val="both"/>
        <w:rPr>
          <w:lang w:val="ru-RU"/>
        </w:rPr>
      </w:pPr>
      <w:r w:rsidRPr="009A5D51">
        <w:rPr>
          <w:lang w:val="ru-RU"/>
        </w:rPr>
        <w:t xml:space="preserve">Для проверки гипотезы о том, что эскапизм будет опосредовать связь между </w:t>
      </w:r>
      <w:r>
        <w:t>ED</w:t>
      </w:r>
      <w:r w:rsidRPr="009A5D51">
        <w:rPr>
          <w:lang w:val="ru-RU"/>
        </w:rPr>
        <w:t xml:space="preserve"> и </w:t>
      </w:r>
      <w:r>
        <w:t>PG</w:t>
      </w:r>
      <w:r w:rsidRPr="009A5D51">
        <w:rPr>
          <w:lang w:val="ru-RU"/>
        </w:rPr>
        <w:t>, использовалась модель структурных уравнений (</w:t>
      </w:r>
      <w:r>
        <w:t>SEM</w:t>
      </w:r>
      <w:r w:rsidRPr="009A5D51">
        <w:rPr>
          <w:lang w:val="ru-RU"/>
        </w:rPr>
        <w:t xml:space="preserve">). Эта модель основана на предположении, что шесть подшкал </w:t>
      </w:r>
      <w:r>
        <w:t>DERS</w:t>
      </w:r>
      <w:r w:rsidRPr="009A5D51">
        <w:rPr>
          <w:lang w:val="ru-RU"/>
        </w:rPr>
        <w:t xml:space="preserve"> (</w:t>
      </w:r>
      <w:r>
        <w:t>Non</w:t>
      </w:r>
      <w:r w:rsidRPr="009A5D51">
        <w:rPr>
          <w:lang w:val="ru-RU"/>
        </w:rPr>
        <w:t>-</w:t>
      </w:r>
      <w:r>
        <w:t>acceptance</w:t>
      </w:r>
      <w:r w:rsidRPr="009A5D51">
        <w:rPr>
          <w:lang w:val="ru-RU"/>
        </w:rPr>
        <w:t xml:space="preserve">, </w:t>
      </w:r>
      <w:r>
        <w:t>Goals</w:t>
      </w:r>
      <w:r w:rsidRPr="009A5D51">
        <w:rPr>
          <w:lang w:val="ru-RU"/>
        </w:rPr>
        <w:t xml:space="preserve">, </w:t>
      </w:r>
      <w:r>
        <w:t>Impulse</w:t>
      </w:r>
      <w:r w:rsidRPr="009A5D51">
        <w:rPr>
          <w:lang w:val="ru-RU"/>
        </w:rPr>
        <w:t xml:space="preserve">, </w:t>
      </w:r>
      <w:r>
        <w:t>Awareness</w:t>
      </w:r>
      <w:r w:rsidRPr="009A5D51">
        <w:rPr>
          <w:lang w:val="ru-RU"/>
        </w:rPr>
        <w:t xml:space="preserve">, </w:t>
      </w:r>
      <w:r>
        <w:t>Strategies</w:t>
      </w:r>
      <w:r w:rsidRPr="009A5D51">
        <w:rPr>
          <w:lang w:val="ru-RU"/>
        </w:rPr>
        <w:t xml:space="preserve"> и </w:t>
      </w:r>
      <w:r>
        <w:t>Clarity</w:t>
      </w:r>
      <w:r w:rsidRPr="009A5D51">
        <w:rPr>
          <w:lang w:val="ru-RU"/>
        </w:rPr>
        <w:t xml:space="preserve">) образуют латентную переменную </w:t>
      </w:r>
      <w:r>
        <w:t>ED</w:t>
      </w:r>
      <w:r w:rsidRPr="009A5D51">
        <w:rPr>
          <w:lang w:val="ru-RU"/>
        </w:rPr>
        <w:t xml:space="preserve">. Три пункта, входящие в подшкалу эскапизма </w:t>
      </w:r>
      <w:r>
        <w:t>MMOPGQ</w:t>
      </w:r>
      <w:r w:rsidRPr="009A5D51">
        <w:rPr>
          <w:lang w:val="ru-RU"/>
        </w:rPr>
        <w:t>-</w:t>
      </w:r>
      <w:r>
        <w:t>WoW</w:t>
      </w:r>
      <w:r w:rsidRPr="009A5D51">
        <w:rPr>
          <w:lang w:val="ru-RU"/>
        </w:rPr>
        <w:t xml:space="preserve">, образовывали латентную переменную эскапизма. Поскольку в предыдущих исследованиях шкала </w:t>
      </w:r>
      <w:r>
        <w:t>IAT</w:t>
      </w:r>
      <w:r w:rsidRPr="009A5D51">
        <w:rPr>
          <w:lang w:val="ru-RU"/>
        </w:rPr>
        <w:t xml:space="preserve"> демонстрировала несогласованные факторные структуры (</w:t>
      </w:r>
      <w:r>
        <w:t>Faraci</w:t>
      </w:r>
      <w:r w:rsidRPr="009A5D51">
        <w:rPr>
          <w:lang w:val="ru-RU"/>
        </w:rPr>
        <w:t xml:space="preserve">, </w:t>
      </w:r>
      <w:r>
        <w:t>Craparo</w:t>
      </w:r>
      <w:r w:rsidRPr="009A5D51">
        <w:rPr>
          <w:lang w:val="ru-RU"/>
        </w:rPr>
        <w:t xml:space="preserve">, </w:t>
      </w:r>
      <w:r>
        <w:t>Messina</w:t>
      </w:r>
      <w:r w:rsidRPr="009A5D51">
        <w:rPr>
          <w:lang w:val="ru-RU"/>
        </w:rPr>
        <w:t xml:space="preserve">, &amp; </w:t>
      </w:r>
      <w:r>
        <w:t>Severino</w:t>
      </w:r>
      <w:r w:rsidRPr="009A5D51">
        <w:rPr>
          <w:lang w:val="ru-RU"/>
        </w:rPr>
        <w:t xml:space="preserve">, 2013), сначала мы провели эксплораторный факторный анализ </w:t>
      </w:r>
      <w:r>
        <w:t>IAT</w:t>
      </w:r>
      <w:r w:rsidRPr="009A5D51">
        <w:rPr>
          <w:lang w:val="ru-RU"/>
        </w:rPr>
        <w:t>-</w:t>
      </w:r>
      <w:r>
        <w:t>WoW</w:t>
      </w:r>
      <w:r w:rsidRPr="009A5D51">
        <w:rPr>
          <w:lang w:val="ru-RU"/>
        </w:rPr>
        <w:t xml:space="preserve">, чтобы определить четкую факторную структуру для нашей модели измерения. Пять факторов имели собственные значения выше 1 (собственные значения составили 6.50, 1.47, 1.13, 1.12 и 1.07), но только первый фактор объяснял более 5% дисперсии </w:t>
      </w:r>
      <w:r>
        <w:t>IAT</w:t>
      </w:r>
      <w:r w:rsidRPr="009A5D51">
        <w:rPr>
          <w:lang w:val="ru-RU"/>
        </w:rPr>
        <w:t>-</w:t>
      </w:r>
      <w:r>
        <w:t>WoW</w:t>
      </w:r>
      <w:r w:rsidRPr="009A5D51">
        <w:rPr>
          <w:lang w:val="ru-RU"/>
        </w:rPr>
        <w:t xml:space="preserve"> (29.77% дисперсии); кроме того, решения с более чем одним фактором демонстрировали значимые и непоследовательные нагрузки на разные факторы. Поэтому мы решили использовать пять пунктов с наибольшими нагрузками на общий фактор </w:t>
      </w:r>
      <w:r>
        <w:t>IAT</w:t>
      </w:r>
      <w:r w:rsidRPr="009A5D51">
        <w:rPr>
          <w:lang w:val="ru-RU"/>
        </w:rPr>
        <w:t>-</w:t>
      </w:r>
      <w:r>
        <w:t>WoW</w:t>
      </w:r>
      <w:r w:rsidRPr="009A5D51">
        <w:rPr>
          <w:lang w:val="ru-RU"/>
        </w:rPr>
        <w:t xml:space="preserve"> для построения адекватного измерения </w:t>
      </w:r>
      <w:r>
        <w:t>PG</w:t>
      </w:r>
      <w:r w:rsidRPr="009A5D51">
        <w:rPr>
          <w:lang w:val="ru-RU"/>
        </w:rPr>
        <w:t xml:space="preserve"> и формирования его латентного фактора. Пять пунктов, выбранных для измерения латентного фактора </w:t>
      </w:r>
      <w:r>
        <w:t>IAT</w:t>
      </w:r>
      <w:r w:rsidRPr="009A5D51">
        <w:rPr>
          <w:lang w:val="ru-RU"/>
        </w:rPr>
        <w:t>-</w:t>
      </w:r>
      <w:r>
        <w:t>WoW</w:t>
      </w:r>
      <w:r w:rsidRPr="009A5D51">
        <w:rPr>
          <w:lang w:val="ru-RU"/>
        </w:rPr>
        <w:t xml:space="preserve"> (пункты 2, 5, 12, 15 и 20; коэффициент Кронбаха </w:t>
      </w:r>
      <w:r>
        <w:t>α</w:t>
      </w:r>
      <w:r w:rsidRPr="009A5D51">
        <w:rPr>
          <w:lang w:val="ru-RU"/>
        </w:rPr>
        <w:t xml:space="preserve"> = .76), отражают ключевые симптомы </w:t>
      </w:r>
      <w:r>
        <w:t>PG</w:t>
      </w:r>
      <w:r w:rsidRPr="009A5D51">
        <w:rPr>
          <w:lang w:val="ru-RU"/>
        </w:rPr>
        <w:t xml:space="preserve"> (пренебрежение домашними делами ради большего времени онлайн; жалобы окружающих на количество времени, проводимого в </w:t>
      </w:r>
      <w:r>
        <w:t>WoW</w:t>
      </w:r>
      <w:r w:rsidRPr="009A5D51">
        <w:rPr>
          <w:lang w:val="ru-RU"/>
        </w:rPr>
        <w:t xml:space="preserve">; страх, что жизнь без </w:t>
      </w:r>
      <w:r>
        <w:t>WoW</w:t>
      </w:r>
      <w:r w:rsidRPr="009A5D51">
        <w:rPr>
          <w:lang w:val="ru-RU"/>
        </w:rPr>
        <w:t xml:space="preserve"> будет безрадостной; озабоченность </w:t>
      </w:r>
      <w:r>
        <w:t>WoW</w:t>
      </w:r>
      <w:r w:rsidRPr="009A5D51">
        <w:rPr>
          <w:lang w:val="ru-RU"/>
        </w:rPr>
        <w:t xml:space="preserve"> в офлайн-режиме и фантазирование об игре; а также чувство подавленности или </w:t>
      </w:r>
      <w:r w:rsidRPr="009A5D51">
        <w:rPr>
          <w:lang w:val="ru-RU"/>
        </w:rPr>
        <w:lastRenderedPageBreak/>
        <w:t xml:space="preserve">нервозности при отсутствии игры в </w:t>
      </w:r>
      <w:r>
        <w:t>WoW</w:t>
      </w:r>
      <w:r w:rsidRPr="009A5D51">
        <w:rPr>
          <w:lang w:val="ru-RU"/>
        </w:rPr>
        <w:t xml:space="preserve">, которое проходит после возвращения к игре). Кроме того, эти пункты с наибольшими нагрузками на общий фактор </w:t>
      </w:r>
      <w:r>
        <w:t>IAT</w:t>
      </w:r>
      <w:r w:rsidRPr="009A5D51">
        <w:rPr>
          <w:lang w:val="ru-RU"/>
        </w:rPr>
        <w:t>-</w:t>
      </w:r>
      <w:r>
        <w:t>WoW</w:t>
      </w:r>
      <w:r w:rsidRPr="009A5D51">
        <w:rPr>
          <w:lang w:val="ru-RU"/>
        </w:rPr>
        <w:t xml:space="preserve"> важны для понимания паттернов </w:t>
      </w:r>
      <w:r>
        <w:t>PG</w:t>
      </w:r>
      <w:r w:rsidRPr="009A5D51">
        <w:rPr>
          <w:lang w:val="ru-RU"/>
        </w:rPr>
        <w:t xml:space="preserve"> как с точки зрения компенсаторной гипотезы </w:t>
      </w:r>
      <w:r>
        <w:t>PG</w:t>
      </w:r>
      <w:r w:rsidRPr="009A5D51">
        <w:rPr>
          <w:lang w:val="ru-RU"/>
        </w:rPr>
        <w:t xml:space="preserve"> как стратегии совладания с текущими стрессорами (</w:t>
      </w:r>
      <w:r>
        <w:t>Kardefelt</w:t>
      </w:r>
      <w:r w:rsidRPr="009A5D51">
        <w:rPr>
          <w:lang w:val="ru-RU"/>
        </w:rPr>
        <w:t>-</w:t>
      </w:r>
      <w:r>
        <w:t>Winther</w:t>
      </w:r>
      <w:r w:rsidRPr="009A5D51">
        <w:rPr>
          <w:lang w:val="ru-RU"/>
        </w:rPr>
        <w:t>, 2014</w:t>
      </w:r>
      <w:r>
        <w:t>b</w:t>
      </w:r>
      <w:r w:rsidRPr="009A5D51">
        <w:rPr>
          <w:lang w:val="ru-RU"/>
        </w:rPr>
        <w:t>), так и с точки зрения симптомно-ориентированной модели поведенческих аддикций (</w:t>
      </w:r>
      <w:r>
        <w:t>Brown</w:t>
      </w:r>
      <w:r w:rsidRPr="009A5D51">
        <w:rPr>
          <w:lang w:val="ru-RU"/>
        </w:rPr>
        <w:t xml:space="preserve">, 1993; </w:t>
      </w:r>
      <w:r>
        <w:t>Griffiths</w:t>
      </w:r>
      <w:r w:rsidRPr="009A5D51">
        <w:rPr>
          <w:lang w:val="ru-RU"/>
        </w:rPr>
        <w:t>, 2005). Модель измерения и предполагаемые в ней связи между переменными представлены на рисунке 1.</w:t>
      </w:r>
    </w:p>
    <w:p w14:paraId="2D96E50E" w14:textId="77777777" w:rsidR="00EE4EDB" w:rsidRPr="009A5D51" w:rsidRDefault="00000000">
      <w:pPr>
        <w:spacing w:before="120" w:after="60" w:line="240" w:lineRule="auto"/>
        <w:jc w:val="center"/>
        <w:rPr>
          <w:lang w:val="ru-RU"/>
        </w:rPr>
      </w:pPr>
      <w:r w:rsidRPr="009A5D51">
        <w:rPr>
          <w:i/>
          <w:sz w:val="22"/>
          <w:lang w:val="ru-RU"/>
        </w:rPr>
        <w:t>Рисунок 1. Модель измерения.</w:t>
      </w:r>
    </w:p>
    <w:p w14:paraId="10DE1EC2" w14:textId="77777777" w:rsidR="00EE4EDB" w:rsidRPr="009A5D51" w:rsidRDefault="00000000">
      <w:pPr>
        <w:pStyle w:val="21"/>
        <w:rPr>
          <w:lang w:val="ru-RU"/>
        </w:rPr>
      </w:pPr>
      <w:r w:rsidRPr="009A5D51">
        <w:rPr>
          <w:rFonts w:ascii="Times New Roman" w:eastAsia="Times New Roman" w:hAnsi="Times New Roman"/>
          <w:lang w:val="ru-RU"/>
        </w:rPr>
        <w:t>Статистический анализ</w:t>
      </w:r>
    </w:p>
    <w:p w14:paraId="344EB5B2" w14:textId="77777777" w:rsidR="00EE4EDB" w:rsidRPr="009A5D51" w:rsidRDefault="00000000">
      <w:pPr>
        <w:spacing w:after="0" w:line="360" w:lineRule="auto"/>
        <w:ind w:firstLine="357"/>
        <w:jc w:val="both"/>
        <w:rPr>
          <w:lang w:val="ru-RU"/>
        </w:rPr>
      </w:pPr>
      <w:r w:rsidRPr="009A5D51">
        <w:rPr>
          <w:lang w:val="ru-RU"/>
        </w:rPr>
        <w:t xml:space="preserve">Для всех переменных исследования были рассчитаны описательные статистики. Гендерные различия анализировались с помощью независимых </w:t>
      </w:r>
      <w:r>
        <w:t>t</w:t>
      </w:r>
      <w:r w:rsidRPr="009A5D51">
        <w:rPr>
          <w:lang w:val="ru-RU"/>
        </w:rPr>
        <w:t xml:space="preserve">-критериев. Также рассматривались коэффициенты корреляции Пирсона </w:t>
      </w:r>
      <w:r>
        <w:t>r</w:t>
      </w:r>
      <w:r w:rsidRPr="009A5D51">
        <w:rPr>
          <w:lang w:val="ru-RU"/>
        </w:rPr>
        <w:t xml:space="preserve"> между количеством часов игры в неделю и психологическими переменными. </w:t>
      </w:r>
      <w:r>
        <w:t>SEM</w:t>
      </w:r>
      <w:r w:rsidRPr="009A5D51">
        <w:rPr>
          <w:lang w:val="ru-RU"/>
        </w:rPr>
        <w:t xml:space="preserve">-анализ модели измерения выполнялся с использованием пакета </w:t>
      </w:r>
      <w:r>
        <w:t>lavaan</w:t>
      </w:r>
      <w:r w:rsidRPr="009A5D51">
        <w:rPr>
          <w:lang w:val="ru-RU"/>
        </w:rPr>
        <w:t xml:space="preserve"> (</w:t>
      </w:r>
      <w:r>
        <w:t>Rosseel</w:t>
      </w:r>
      <w:r w:rsidRPr="009A5D51">
        <w:rPr>
          <w:lang w:val="ru-RU"/>
        </w:rPr>
        <w:t xml:space="preserve">, 2012) для программного обеспечения </w:t>
      </w:r>
      <w:r>
        <w:t>R</w:t>
      </w:r>
      <w:r w:rsidRPr="009A5D51">
        <w:rPr>
          <w:lang w:val="ru-RU"/>
        </w:rPr>
        <w:t xml:space="preserve">. Оценивался ряд индексов качества подгонки модели. Оценка абсолютных индексов включала: отношение </w:t>
      </w:r>
      <w:r>
        <w:t>χ</w:t>
      </w:r>
      <w:r w:rsidRPr="009A5D51">
        <w:rPr>
          <w:lang w:val="ru-RU"/>
        </w:rPr>
        <w:t>2/</w:t>
      </w:r>
      <w:r>
        <w:t>df</w:t>
      </w:r>
      <w:r w:rsidRPr="009A5D51">
        <w:rPr>
          <w:lang w:val="ru-RU"/>
        </w:rPr>
        <w:t xml:space="preserve">, для которого значения ≤ 2 указывают на хорошую подгонку; </w:t>
      </w:r>
      <w:r>
        <w:t>root</w:t>
      </w:r>
      <w:r w:rsidRPr="009A5D51">
        <w:rPr>
          <w:lang w:val="ru-RU"/>
        </w:rPr>
        <w:t xml:space="preserve"> </w:t>
      </w:r>
      <w:r>
        <w:t>mean</w:t>
      </w:r>
      <w:r w:rsidRPr="009A5D51">
        <w:rPr>
          <w:lang w:val="ru-RU"/>
        </w:rPr>
        <w:t xml:space="preserve"> </w:t>
      </w:r>
      <w:r>
        <w:t>square</w:t>
      </w:r>
      <w:r w:rsidRPr="009A5D51">
        <w:rPr>
          <w:lang w:val="ru-RU"/>
        </w:rPr>
        <w:t xml:space="preserve"> </w:t>
      </w:r>
      <w:r>
        <w:t>error</w:t>
      </w:r>
      <w:r w:rsidRPr="009A5D51">
        <w:rPr>
          <w:lang w:val="ru-RU"/>
        </w:rPr>
        <w:t xml:space="preserve"> </w:t>
      </w:r>
      <w:r>
        <w:t>of</w:t>
      </w:r>
      <w:r w:rsidRPr="009A5D51">
        <w:rPr>
          <w:lang w:val="ru-RU"/>
        </w:rPr>
        <w:t xml:space="preserve"> </w:t>
      </w:r>
      <w:r>
        <w:t>approximation</w:t>
      </w:r>
      <w:r w:rsidRPr="009A5D51">
        <w:rPr>
          <w:lang w:val="ru-RU"/>
        </w:rPr>
        <w:t xml:space="preserve"> (</w:t>
      </w:r>
      <w:r>
        <w:t>RMSEA</w:t>
      </w:r>
      <w:r w:rsidRPr="009A5D51">
        <w:rPr>
          <w:lang w:val="ru-RU"/>
        </w:rPr>
        <w:t xml:space="preserve">), для которого значения ≤ 0.05 указывают на хорошую подгонку; и </w:t>
      </w:r>
      <w:r>
        <w:t>standardized</w:t>
      </w:r>
      <w:r w:rsidRPr="009A5D51">
        <w:rPr>
          <w:lang w:val="ru-RU"/>
        </w:rPr>
        <w:t xml:space="preserve"> </w:t>
      </w:r>
      <w:r>
        <w:t>root</w:t>
      </w:r>
      <w:r w:rsidRPr="009A5D51">
        <w:rPr>
          <w:lang w:val="ru-RU"/>
        </w:rPr>
        <w:t xml:space="preserve"> </w:t>
      </w:r>
      <w:r>
        <w:t>mean</w:t>
      </w:r>
      <w:r w:rsidRPr="009A5D51">
        <w:rPr>
          <w:lang w:val="ru-RU"/>
        </w:rPr>
        <w:t xml:space="preserve"> </w:t>
      </w:r>
      <w:r>
        <w:t>square</w:t>
      </w:r>
      <w:r w:rsidRPr="009A5D51">
        <w:rPr>
          <w:lang w:val="ru-RU"/>
        </w:rPr>
        <w:t xml:space="preserve"> </w:t>
      </w:r>
      <w:r>
        <w:t>residual</w:t>
      </w:r>
      <w:r w:rsidRPr="009A5D51">
        <w:rPr>
          <w:lang w:val="ru-RU"/>
        </w:rPr>
        <w:t xml:space="preserve"> (</w:t>
      </w:r>
      <w:r>
        <w:t>SRMR</w:t>
      </w:r>
      <w:r w:rsidRPr="009A5D51">
        <w:rPr>
          <w:lang w:val="ru-RU"/>
        </w:rPr>
        <w:t xml:space="preserve">), для которого рекомендовано значение ≤ 0.08. Оценка инкрементальных индексов включала </w:t>
      </w:r>
      <w:r>
        <w:t>non</w:t>
      </w:r>
      <w:r w:rsidRPr="009A5D51">
        <w:rPr>
          <w:lang w:val="ru-RU"/>
        </w:rPr>
        <w:t>-</w:t>
      </w:r>
      <w:r>
        <w:t>normed</w:t>
      </w:r>
      <w:r w:rsidRPr="009A5D51">
        <w:rPr>
          <w:lang w:val="ru-RU"/>
        </w:rPr>
        <w:t xml:space="preserve"> </w:t>
      </w:r>
      <w:r>
        <w:t>fit</w:t>
      </w:r>
      <w:r w:rsidRPr="009A5D51">
        <w:rPr>
          <w:lang w:val="ru-RU"/>
        </w:rPr>
        <w:t xml:space="preserve"> </w:t>
      </w:r>
      <w:r>
        <w:t>index</w:t>
      </w:r>
      <w:r w:rsidRPr="009A5D51">
        <w:rPr>
          <w:lang w:val="ru-RU"/>
        </w:rPr>
        <w:t xml:space="preserve"> (</w:t>
      </w:r>
      <w:r>
        <w:t>NNFI</w:t>
      </w:r>
      <w:r w:rsidRPr="009A5D51">
        <w:rPr>
          <w:lang w:val="ru-RU"/>
        </w:rPr>
        <w:t xml:space="preserve">) и </w:t>
      </w:r>
      <w:r>
        <w:t>comparative</w:t>
      </w:r>
      <w:r w:rsidRPr="009A5D51">
        <w:rPr>
          <w:lang w:val="ru-RU"/>
        </w:rPr>
        <w:t xml:space="preserve"> </w:t>
      </w:r>
      <w:r>
        <w:t>fit</w:t>
      </w:r>
      <w:r w:rsidRPr="009A5D51">
        <w:rPr>
          <w:lang w:val="ru-RU"/>
        </w:rPr>
        <w:t xml:space="preserve"> </w:t>
      </w:r>
      <w:r>
        <w:t>index</w:t>
      </w:r>
      <w:r w:rsidRPr="009A5D51">
        <w:rPr>
          <w:lang w:val="ru-RU"/>
        </w:rPr>
        <w:t xml:space="preserve"> (</w:t>
      </w:r>
      <w:r>
        <w:t>CFI</w:t>
      </w:r>
      <w:r w:rsidRPr="009A5D51">
        <w:rPr>
          <w:lang w:val="ru-RU"/>
        </w:rPr>
        <w:t>); для обоих показателей значения &gt; .95 свидетельствуют о хорошей подгонке (</w:t>
      </w:r>
      <w:r>
        <w:t>Brown</w:t>
      </w:r>
      <w:r w:rsidRPr="009A5D51">
        <w:rPr>
          <w:lang w:val="ru-RU"/>
        </w:rPr>
        <w:t xml:space="preserve">, 2006; </w:t>
      </w:r>
      <w:r>
        <w:t>Hu</w:t>
      </w:r>
      <w:r w:rsidRPr="009A5D51">
        <w:rPr>
          <w:lang w:val="ru-RU"/>
        </w:rPr>
        <w:t xml:space="preserve"> &amp; </w:t>
      </w:r>
      <w:r>
        <w:t>Bentler</w:t>
      </w:r>
      <w:r w:rsidRPr="009A5D51">
        <w:rPr>
          <w:lang w:val="ru-RU"/>
        </w:rPr>
        <w:t xml:space="preserve">, 1999). Кроме того, для определения того, обеспечивает ли модель, представленная на рисунке 1, лучшую подгонку, чем немедиаторная модель, в которой </w:t>
      </w:r>
      <w:r>
        <w:t>ED</w:t>
      </w:r>
      <w:r w:rsidRPr="009A5D51">
        <w:rPr>
          <w:lang w:val="ru-RU"/>
        </w:rPr>
        <w:t xml:space="preserve"> независимо предсказывает эскапизм и </w:t>
      </w:r>
      <w:r>
        <w:t>PG</w:t>
      </w:r>
      <w:r w:rsidRPr="009A5D51">
        <w:rPr>
          <w:lang w:val="ru-RU"/>
        </w:rPr>
        <w:t xml:space="preserve"> без опосредующей роли эскапизма для </w:t>
      </w:r>
      <w:r>
        <w:t>PG</w:t>
      </w:r>
      <w:r w:rsidRPr="009A5D51">
        <w:rPr>
          <w:lang w:val="ru-RU"/>
        </w:rPr>
        <w:t xml:space="preserve">, использовался </w:t>
      </w:r>
      <w:r>
        <w:t>χ</w:t>
      </w:r>
      <w:r w:rsidRPr="009A5D51">
        <w:rPr>
          <w:lang w:val="ru-RU"/>
        </w:rPr>
        <w:t>2-критерий разности.</w:t>
      </w:r>
    </w:p>
    <w:p w14:paraId="4A9D3080" w14:textId="77777777" w:rsidR="00EE4EDB" w:rsidRPr="009A5D51" w:rsidRDefault="00000000">
      <w:pPr>
        <w:pStyle w:val="1"/>
        <w:rPr>
          <w:lang w:val="ru-RU"/>
        </w:rPr>
      </w:pPr>
      <w:r w:rsidRPr="009A5D51">
        <w:rPr>
          <w:rFonts w:ascii="Times New Roman" w:eastAsia="Times New Roman" w:hAnsi="Times New Roman"/>
          <w:lang w:val="ru-RU"/>
        </w:rPr>
        <w:t>Результаты</w:t>
      </w:r>
    </w:p>
    <w:p w14:paraId="0B5A793E" w14:textId="77777777" w:rsidR="00EE4EDB" w:rsidRPr="009A5D51" w:rsidRDefault="00000000">
      <w:pPr>
        <w:spacing w:after="0" w:line="360" w:lineRule="auto"/>
        <w:ind w:firstLine="357"/>
        <w:jc w:val="both"/>
        <w:rPr>
          <w:lang w:val="ru-RU"/>
        </w:rPr>
      </w:pPr>
      <w:r w:rsidRPr="009A5D51">
        <w:rPr>
          <w:lang w:val="ru-RU"/>
        </w:rPr>
        <w:t>Описательные статистики для всей выборки и отдельно по полу представлены в таблице 1.</w:t>
      </w:r>
    </w:p>
    <w:p w14:paraId="28E9F1BA" w14:textId="77777777" w:rsidR="00EE4EDB" w:rsidRPr="009A5D51" w:rsidRDefault="00000000">
      <w:pPr>
        <w:spacing w:before="120" w:after="60" w:line="240" w:lineRule="auto"/>
        <w:jc w:val="center"/>
        <w:rPr>
          <w:lang w:val="ru-RU"/>
        </w:rPr>
      </w:pPr>
      <w:r w:rsidRPr="009A5D51">
        <w:rPr>
          <w:i/>
          <w:sz w:val="22"/>
          <w:lang w:val="ru-RU"/>
        </w:rPr>
        <w:t>Таблица 1. Психосоциальные и игровые переменные: описательные статистики и гендерные различия</w:t>
      </w:r>
    </w:p>
    <w:tbl>
      <w:tblPr>
        <w:tblStyle w:val="aff0"/>
        <w:tblW w:w="0" w:type="auto"/>
        <w:jc w:val="center"/>
        <w:tblLayout w:type="fixed"/>
        <w:tblLook w:val="04A0" w:firstRow="1" w:lastRow="0" w:firstColumn="1" w:lastColumn="0" w:noHBand="0" w:noVBand="1"/>
      </w:tblPr>
      <w:tblGrid>
        <w:gridCol w:w="2494"/>
        <w:gridCol w:w="1701"/>
        <w:gridCol w:w="1701"/>
        <w:gridCol w:w="1701"/>
        <w:gridCol w:w="1247"/>
        <w:gridCol w:w="1077"/>
        <w:gridCol w:w="850"/>
      </w:tblGrid>
      <w:tr w:rsidR="00EE4EDB" w14:paraId="6B0954DC" w14:textId="77777777">
        <w:trPr>
          <w:tblHeader/>
          <w:jc w:val="center"/>
        </w:trPr>
        <w:tc>
          <w:tcPr>
            <w:tcW w:w="2494" w:type="dxa"/>
            <w:vAlign w:val="center"/>
          </w:tcPr>
          <w:p w14:paraId="31EB3ADF" w14:textId="77777777" w:rsidR="00EE4EDB" w:rsidRDefault="00000000">
            <w:pPr>
              <w:jc w:val="center"/>
            </w:pPr>
            <w:r>
              <w:rPr>
                <w:b/>
                <w:sz w:val="17"/>
              </w:rPr>
              <w:t>Показатель</w:t>
            </w:r>
          </w:p>
        </w:tc>
        <w:tc>
          <w:tcPr>
            <w:tcW w:w="1701" w:type="dxa"/>
            <w:vAlign w:val="center"/>
          </w:tcPr>
          <w:p w14:paraId="283E4FBC" w14:textId="77777777" w:rsidR="00EE4EDB" w:rsidRPr="009A5D51" w:rsidRDefault="00000000">
            <w:pPr>
              <w:rPr>
                <w:lang w:val="ru-RU"/>
              </w:rPr>
            </w:pPr>
            <w:r w:rsidRPr="009A5D51">
              <w:rPr>
                <w:b/>
                <w:sz w:val="17"/>
                <w:lang w:val="ru-RU"/>
              </w:rPr>
              <w:t>Общая выборка</w:t>
            </w:r>
            <w:r w:rsidRPr="009A5D51">
              <w:rPr>
                <w:b/>
                <w:sz w:val="17"/>
                <w:lang w:val="ru-RU"/>
              </w:rPr>
              <w:br/>
            </w:r>
            <w:r>
              <w:rPr>
                <w:b/>
                <w:sz w:val="17"/>
              </w:rPr>
              <w:t>M</w:t>
            </w:r>
            <w:r w:rsidRPr="009A5D51">
              <w:rPr>
                <w:b/>
                <w:sz w:val="17"/>
                <w:lang w:val="ru-RU"/>
              </w:rPr>
              <w:t xml:space="preserve"> (±</w:t>
            </w:r>
            <w:r>
              <w:rPr>
                <w:b/>
                <w:sz w:val="17"/>
              </w:rPr>
              <w:t>SD</w:t>
            </w:r>
            <w:r w:rsidRPr="009A5D51">
              <w:rPr>
                <w:b/>
                <w:sz w:val="17"/>
                <w:lang w:val="ru-RU"/>
              </w:rPr>
              <w:t xml:space="preserve">) или </w:t>
            </w:r>
            <w:r>
              <w:rPr>
                <w:b/>
                <w:sz w:val="17"/>
              </w:rPr>
              <w:t>N</w:t>
            </w:r>
            <w:r w:rsidRPr="009A5D51">
              <w:rPr>
                <w:b/>
                <w:sz w:val="17"/>
                <w:lang w:val="ru-RU"/>
              </w:rPr>
              <w:t xml:space="preserve"> (%)</w:t>
            </w:r>
          </w:p>
        </w:tc>
        <w:tc>
          <w:tcPr>
            <w:tcW w:w="1701" w:type="dxa"/>
            <w:vAlign w:val="center"/>
          </w:tcPr>
          <w:p w14:paraId="7985A726" w14:textId="77777777" w:rsidR="00EE4EDB" w:rsidRDefault="00000000">
            <w:r>
              <w:rPr>
                <w:b/>
                <w:sz w:val="17"/>
              </w:rPr>
              <w:t>Мужчины (N = 289)</w:t>
            </w:r>
            <w:r>
              <w:rPr>
                <w:b/>
                <w:sz w:val="17"/>
              </w:rPr>
              <w:br/>
              <w:t>M (±SD)</w:t>
            </w:r>
          </w:p>
        </w:tc>
        <w:tc>
          <w:tcPr>
            <w:tcW w:w="1701" w:type="dxa"/>
            <w:vAlign w:val="center"/>
          </w:tcPr>
          <w:p w14:paraId="176A646D" w14:textId="77777777" w:rsidR="00EE4EDB" w:rsidRDefault="00000000">
            <w:r>
              <w:rPr>
                <w:b/>
                <w:sz w:val="17"/>
              </w:rPr>
              <w:t>Женщины (N = 101)</w:t>
            </w:r>
            <w:r>
              <w:rPr>
                <w:b/>
                <w:sz w:val="17"/>
              </w:rPr>
              <w:br/>
              <w:t>M (±SD)</w:t>
            </w:r>
          </w:p>
        </w:tc>
        <w:tc>
          <w:tcPr>
            <w:tcW w:w="1247" w:type="dxa"/>
            <w:vAlign w:val="center"/>
          </w:tcPr>
          <w:p w14:paraId="679B7A98" w14:textId="77777777" w:rsidR="00EE4EDB" w:rsidRDefault="00000000">
            <w:pPr>
              <w:jc w:val="center"/>
            </w:pPr>
            <w:r>
              <w:rPr>
                <w:b/>
                <w:sz w:val="17"/>
              </w:rPr>
              <w:t>Диапазон</w:t>
            </w:r>
          </w:p>
        </w:tc>
        <w:tc>
          <w:tcPr>
            <w:tcW w:w="1077" w:type="dxa"/>
            <w:vAlign w:val="center"/>
          </w:tcPr>
          <w:p w14:paraId="52BB009E" w14:textId="77777777" w:rsidR="00EE4EDB" w:rsidRDefault="00000000">
            <w:pPr>
              <w:jc w:val="center"/>
            </w:pPr>
            <w:r>
              <w:rPr>
                <w:b/>
                <w:sz w:val="17"/>
              </w:rPr>
              <w:t>t(388)</w:t>
            </w:r>
          </w:p>
        </w:tc>
        <w:tc>
          <w:tcPr>
            <w:tcW w:w="850" w:type="dxa"/>
            <w:vAlign w:val="center"/>
          </w:tcPr>
          <w:p w14:paraId="6B13A0B6" w14:textId="77777777" w:rsidR="00EE4EDB" w:rsidRDefault="00000000">
            <w:pPr>
              <w:jc w:val="center"/>
            </w:pPr>
            <w:r>
              <w:rPr>
                <w:b/>
                <w:sz w:val="17"/>
              </w:rPr>
              <w:t>p</w:t>
            </w:r>
          </w:p>
        </w:tc>
      </w:tr>
      <w:tr w:rsidR="00EE4EDB" w14:paraId="7F9F3774" w14:textId="77777777">
        <w:trPr>
          <w:jc w:val="center"/>
        </w:trPr>
        <w:tc>
          <w:tcPr>
            <w:tcW w:w="2494" w:type="dxa"/>
            <w:vAlign w:val="center"/>
          </w:tcPr>
          <w:p w14:paraId="60096798" w14:textId="77777777" w:rsidR="00EE4EDB" w:rsidRDefault="00000000">
            <w:r>
              <w:rPr>
                <w:sz w:val="17"/>
              </w:rPr>
              <w:t>DERS</w:t>
            </w:r>
          </w:p>
        </w:tc>
        <w:tc>
          <w:tcPr>
            <w:tcW w:w="1701" w:type="dxa"/>
            <w:vAlign w:val="center"/>
          </w:tcPr>
          <w:p w14:paraId="63D80CCE" w14:textId="77777777" w:rsidR="00EE4EDB" w:rsidRDefault="00000000">
            <w:pPr>
              <w:jc w:val="center"/>
            </w:pPr>
            <w:r>
              <w:rPr>
                <w:sz w:val="17"/>
              </w:rPr>
              <w:t>38.51 (±13.07)</w:t>
            </w:r>
          </w:p>
        </w:tc>
        <w:tc>
          <w:tcPr>
            <w:tcW w:w="1701" w:type="dxa"/>
            <w:vAlign w:val="center"/>
          </w:tcPr>
          <w:p w14:paraId="72702BD3" w14:textId="77777777" w:rsidR="00EE4EDB" w:rsidRDefault="00000000">
            <w:pPr>
              <w:jc w:val="center"/>
            </w:pPr>
            <w:r>
              <w:rPr>
                <w:sz w:val="17"/>
              </w:rPr>
              <w:t>38.21 (±12.47)</w:t>
            </w:r>
          </w:p>
        </w:tc>
        <w:tc>
          <w:tcPr>
            <w:tcW w:w="1701" w:type="dxa"/>
            <w:vAlign w:val="center"/>
          </w:tcPr>
          <w:p w14:paraId="544E3A8F" w14:textId="77777777" w:rsidR="00EE4EDB" w:rsidRDefault="00000000">
            <w:pPr>
              <w:jc w:val="center"/>
            </w:pPr>
            <w:r>
              <w:rPr>
                <w:sz w:val="17"/>
              </w:rPr>
              <w:t>39.36 (±2.73)</w:t>
            </w:r>
          </w:p>
        </w:tc>
        <w:tc>
          <w:tcPr>
            <w:tcW w:w="1247" w:type="dxa"/>
            <w:vAlign w:val="center"/>
          </w:tcPr>
          <w:p w14:paraId="582951FF" w14:textId="77777777" w:rsidR="00EE4EDB" w:rsidRDefault="00000000">
            <w:pPr>
              <w:jc w:val="center"/>
            </w:pPr>
            <w:r>
              <w:rPr>
                <w:sz w:val="17"/>
              </w:rPr>
              <w:t>18-90</w:t>
            </w:r>
          </w:p>
        </w:tc>
        <w:tc>
          <w:tcPr>
            <w:tcW w:w="1077" w:type="dxa"/>
            <w:vAlign w:val="center"/>
          </w:tcPr>
          <w:p w14:paraId="443B7981" w14:textId="77777777" w:rsidR="00EE4EDB" w:rsidRDefault="00000000">
            <w:pPr>
              <w:jc w:val="center"/>
            </w:pPr>
            <w:r>
              <w:rPr>
                <w:sz w:val="17"/>
              </w:rPr>
              <w:t>-0.706</w:t>
            </w:r>
          </w:p>
        </w:tc>
        <w:tc>
          <w:tcPr>
            <w:tcW w:w="850" w:type="dxa"/>
            <w:vAlign w:val="center"/>
          </w:tcPr>
          <w:p w14:paraId="38B129D9" w14:textId="77777777" w:rsidR="00EE4EDB" w:rsidRDefault="00000000">
            <w:pPr>
              <w:jc w:val="center"/>
            </w:pPr>
            <w:r>
              <w:rPr>
                <w:sz w:val="17"/>
              </w:rPr>
              <w:t>.481</w:t>
            </w:r>
          </w:p>
        </w:tc>
      </w:tr>
      <w:tr w:rsidR="00EE4EDB" w14:paraId="685432E8" w14:textId="77777777">
        <w:trPr>
          <w:jc w:val="center"/>
        </w:trPr>
        <w:tc>
          <w:tcPr>
            <w:tcW w:w="2494" w:type="dxa"/>
            <w:vAlign w:val="center"/>
          </w:tcPr>
          <w:p w14:paraId="1A1F643D" w14:textId="77777777" w:rsidR="00EE4EDB" w:rsidRDefault="00000000">
            <w:r>
              <w:rPr>
                <w:sz w:val="17"/>
              </w:rPr>
              <w:t>Awareness</w:t>
            </w:r>
          </w:p>
        </w:tc>
        <w:tc>
          <w:tcPr>
            <w:tcW w:w="1701" w:type="dxa"/>
            <w:vAlign w:val="center"/>
          </w:tcPr>
          <w:p w14:paraId="41553ED1" w14:textId="77777777" w:rsidR="00EE4EDB" w:rsidRDefault="00000000">
            <w:pPr>
              <w:jc w:val="center"/>
            </w:pPr>
            <w:r>
              <w:rPr>
                <w:sz w:val="17"/>
              </w:rPr>
              <w:t>7.44 (±2.78)</w:t>
            </w:r>
          </w:p>
        </w:tc>
        <w:tc>
          <w:tcPr>
            <w:tcW w:w="1701" w:type="dxa"/>
            <w:vAlign w:val="center"/>
          </w:tcPr>
          <w:p w14:paraId="7E57BCC7" w14:textId="77777777" w:rsidR="00EE4EDB" w:rsidRDefault="00000000">
            <w:pPr>
              <w:jc w:val="center"/>
            </w:pPr>
            <w:r>
              <w:rPr>
                <w:sz w:val="17"/>
              </w:rPr>
              <w:t>7.41 (±2.59)</w:t>
            </w:r>
          </w:p>
        </w:tc>
        <w:tc>
          <w:tcPr>
            <w:tcW w:w="1701" w:type="dxa"/>
            <w:vAlign w:val="center"/>
          </w:tcPr>
          <w:p w14:paraId="06F20ADE" w14:textId="77777777" w:rsidR="00EE4EDB" w:rsidRDefault="00000000">
            <w:pPr>
              <w:jc w:val="center"/>
            </w:pPr>
            <w:r>
              <w:rPr>
                <w:sz w:val="17"/>
              </w:rPr>
              <w:t>7.50 (±3.24)</w:t>
            </w:r>
          </w:p>
        </w:tc>
        <w:tc>
          <w:tcPr>
            <w:tcW w:w="1247" w:type="dxa"/>
            <w:vAlign w:val="center"/>
          </w:tcPr>
          <w:p w14:paraId="0E97A1C5" w14:textId="77777777" w:rsidR="00EE4EDB" w:rsidRDefault="00000000">
            <w:pPr>
              <w:jc w:val="center"/>
            </w:pPr>
            <w:r>
              <w:rPr>
                <w:sz w:val="17"/>
              </w:rPr>
              <w:t>3-15</w:t>
            </w:r>
          </w:p>
        </w:tc>
        <w:tc>
          <w:tcPr>
            <w:tcW w:w="1077" w:type="dxa"/>
            <w:vAlign w:val="center"/>
          </w:tcPr>
          <w:p w14:paraId="6A25C21A" w14:textId="77777777" w:rsidR="00EE4EDB" w:rsidRDefault="00000000">
            <w:pPr>
              <w:jc w:val="center"/>
            </w:pPr>
            <w:r>
              <w:rPr>
                <w:sz w:val="17"/>
              </w:rPr>
              <w:t>-0.241</w:t>
            </w:r>
          </w:p>
        </w:tc>
        <w:tc>
          <w:tcPr>
            <w:tcW w:w="850" w:type="dxa"/>
            <w:vAlign w:val="center"/>
          </w:tcPr>
          <w:p w14:paraId="459460D9" w14:textId="77777777" w:rsidR="00EE4EDB" w:rsidRDefault="00000000">
            <w:pPr>
              <w:jc w:val="center"/>
            </w:pPr>
            <w:r>
              <w:rPr>
                <w:sz w:val="17"/>
              </w:rPr>
              <w:t>.810</w:t>
            </w:r>
          </w:p>
        </w:tc>
      </w:tr>
      <w:tr w:rsidR="00EE4EDB" w14:paraId="42DB17CB" w14:textId="77777777">
        <w:trPr>
          <w:jc w:val="center"/>
        </w:trPr>
        <w:tc>
          <w:tcPr>
            <w:tcW w:w="2494" w:type="dxa"/>
            <w:vAlign w:val="center"/>
          </w:tcPr>
          <w:p w14:paraId="0131D277" w14:textId="77777777" w:rsidR="00EE4EDB" w:rsidRDefault="00000000">
            <w:r>
              <w:rPr>
                <w:sz w:val="17"/>
              </w:rPr>
              <w:t>Clarity</w:t>
            </w:r>
          </w:p>
        </w:tc>
        <w:tc>
          <w:tcPr>
            <w:tcW w:w="1701" w:type="dxa"/>
            <w:vAlign w:val="center"/>
          </w:tcPr>
          <w:p w14:paraId="6F63CD16" w14:textId="77777777" w:rsidR="00EE4EDB" w:rsidRDefault="00000000">
            <w:pPr>
              <w:jc w:val="center"/>
            </w:pPr>
            <w:r>
              <w:rPr>
                <w:sz w:val="17"/>
              </w:rPr>
              <w:t>5.92 (±2.89)</w:t>
            </w:r>
          </w:p>
        </w:tc>
        <w:tc>
          <w:tcPr>
            <w:tcW w:w="1701" w:type="dxa"/>
            <w:vAlign w:val="center"/>
          </w:tcPr>
          <w:p w14:paraId="62BFA520" w14:textId="77777777" w:rsidR="00EE4EDB" w:rsidRDefault="00000000">
            <w:pPr>
              <w:jc w:val="center"/>
            </w:pPr>
            <w:r>
              <w:rPr>
                <w:sz w:val="17"/>
              </w:rPr>
              <w:t>5.84 (±2.67)</w:t>
            </w:r>
          </w:p>
        </w:tc>
        <w:tc>
          <w:tcPr>
            <w:tcW w:w="1701" w:type="dxa"/>
            <w:vAlign w:val="center"/>
          </w:tcPr>
          <w:p w14:paraId="6D2EA3A6" w14:textId="77777777" w:rsidR="00EE4EDB" w:rsidRDefault="00000000">
            <w:pPr>
              <w:jc w:val="center"/>
            </w:pPr>
            <w:r>
              <w:rPr>
                <w:sz w:val="17"/>
              </w:rPr>
              <w:t>6.15 (±3.44)</w:t>
            </w:r>
          </w:p>
        </w:tc>
        <w:tc>
          <w:tcPr>
            <w:tcW w:w="1247" w:type="dxa"/>
            <w:vAlign w:val="center"/>
          </w:tcPr>
          <w:p w14:paraId="31490E24" w14:textId="77777777" w:rsidR="00EE4EDB" w:rsidRDefault="00000000">
            <w:pPr>
              <w:jc w:val="center"/>
            </w:pPr>
            <w:r>
              <w:rPr>
                <w:sz w:val="17"/>
              </w:rPr>
              <w:t>3-15</w:t>
            </w:r>
          </w:p>
        </w:tc>
        <w:tc>
          <w:tcPr>
            <w:tcW w:w="1077" w:type="dxa"/>
            <w:vAlign w:val="center"/>
          </w:tcPr>
          <w:p w14:paraId="5AB05810" w14:textId="77777777" w:rsidR="00EE4EDB" w:rsidRDefault="00000000">
            <w:pPr>
              <w:jc w:val="center"/>
            </w:pPr>
            <w:r>
              <w:rPr>
                <w:sz w:val="17"/>
              </w:rPr>
              <w:t>-0.842</w:t>
            </w:r>
          </w:p>
        </w:tc>
        <w:tc>
          <w:tcPr>
            <w:tcW w:w="850" w:type="dxa"/>
            <w:vAlign w:val="center"/>
          </w:tcPr>
          <w:p w14:paraId="3A2F479D" w14:textId="77777777" w:rsidR="00EE4EDB" w:rsidRDefault="00000000">
            <w:pPr>
              <w:jc w:val="center"/>
            </w:pPr>
            <w:r>
              <w:rPr>
                <w:sz w:val="17"/>
              </w:rPr>
              <w:t>.401</w:t>
            </w:r>
          </w:p>
        </w:tc>
      </w:tr>
      <w:tr w:rsidR="00EE4EDB" w14:paraId="4685CA7B" w14:textId="77777777">
        <w:trPr>
          <w:jc w:val="center"/>
        </w:trPr>
        <w:tc>
          <w:tcPr>
            <w:tcW w:w="2494" w:type="dxa"/>
            <w:vAlign w:val="center"/>
          </w:tcPr>
          <w:p w14:paraId="6A2CA4B4" w14:textId="77777777" w:rsidR="00EE4EDB" w:rsidRDefault="00000000">
            <w:r>
              <w:rPr>
                <w:sz w:val="17"/>
              </w:rPr>
              <w:t>Goals</w:t>
            </w:r>
          </w:p>
        </w:tc>
        <w:tc>
          <w:tcPr>
            <w:tcW w:w="1701" w:type="dxa"/>
            <w:vAlign w:val="center"/>
          </w:tcPr>
          <w:p w14:paraId="4DB7850D" w14:textId="77777777" w:rsidR="00EE4EDB" w:rsidRDefault="00000000">
            <w:pPr>
              <w:jc w:val="center"/>
            </w:pPr>
            <w:r>
              <w:rPr>
                <w:sz w:val="17"/>
              </w:rPr>
              <w:t>7.81 (±13.61)</w:t>
            </w:r>
          </w:p>
        </w:tc>
        <w:tc>
          <w:tcPr>
            <w:tcW w:w="1701" w:type="dxa"/>
            <w:vAlign w:val="center"/>
          </w:tcPr>
          <w:p w14:paraId="147820A3" w14:textId="77777777" w:rsidR="00EE4EDB" w:rsidRDefault="00000000">
            <w:pPr>
              <w:jc w:val="center"/>
            </w:pPr>
            <w:r>
              <w:rPr>
                <w:sz w:val="17"/>
              </w:rPr>
              <w:t>7.87 (±3.71)</w:t>
            </w:r>
          </w:p>
        </w:tc>
        <w:tc>
          <w:tcPr>
            <w:tcW w:w="1701" w:type="dxa"/>
            <w:vAlign w:val="center"/>
          </w:tcPr>
          <w:p w14:paraId="5F88C9AE" w14:textId="77777777" w:rsidR="00EE4EDB" w:rsidRDefault="00000000">
            <w:pPr>
              <w:jc w:val="center"/>
            </w:pPr>
            <w:r>
              <w:rPr>
                <w:sz w:val="17"/>
              </w:rPr>
              <w:t>7.63 (±3.33)</w:t>
            </w:r>
          </w:p>
        </w:tc>
        <w:tc>
          <w:tcPr>
            <w:tcW w:w="1247" w:type="dxa"/>
            <w:vAlign w:val="center"/>
          </w:tcPr>
          <w:p w14:paraId="1DAE0875" w14:textId="77777777" w:rsidR="00EE4EDB" w:rsidRDefault="00000000">
            <w:pPr>
              <w:jc w:val="center"/>
            </w:pPr>
            <w:r>
              <w:rPr>
                <w:sz w:val="17"/>
              </w:rPr>
              <w:t>3-15</w:t>
            </w:r>
          </w:p>
        </w:tc>
        <w:tc>
          <w:tcPr>
            <w:tcW w:w="1077" w:type="dxa"/>
            <w:vAlign w:val="center"/>
          </w:tcPr>
          <w:p w14:paraId="388727BA" w14:textId="77777777" w:rsidR="00EE4EDB" w:rsidRDefault="00000000">
            <w:pPr>
              <w:jc w:val="center"/>
            </w:pPr>
            <w:r>
              <w:rPr>
                <w:sz w:val="17"/>
              </w:rPr>
              <w:t>0.600</w:t>
            </w:r>
          </w:p>
        </w:tc>
        <w:tc>
          <w:tcPr>
            <w:tcW w:w="850" w:type="dxa"/>
            <w:vAlign w:val="center"/>
          </w:tcPr>
          <w:p w14:paraId="340BDF64" w14:textId="77777777" w:rsidR="00EE4EDB" w:rsidRDefault="00000000">
            <w:pPr>
              <w:jc w:val="center"/>
            </w:pPr>
            <w:r>
              <w:rPr>
                <w:sz w:val="17"/>
              </w:rPr>
              <w:t>.549</w:t>
            </w:r>
          </w:p>
        </w:tc>
      </w:tr>
      <w:tr w:rsidR="00EE4EDB" w14:paraId="4547B018" w14:textId="77777777">
        <w:trPr>
          <w:jc w:val="center"/>
        </w:trPr>
        <w:tc>
          <w:tcPr>
            <w:tcW w:w="2494" w:type="dxa"/>
            <w:vAlign w:val="center"/>
          </w:tcPr>
          <w:p w14:paraId="15B5B1A5" w14:textId="77777777" w:rsidR="00EE4EDB" w:rsidRDefault="00000000">
            <w:r>
              <w:rPr>
                <w:sz w:val="17"/>
              </w:rPr>
              <w:lastRenderedPageBreak/>
              <w:t>Impulse</w:t>
            </w:r>
          </w:p>
        </w:tc>
        <w:tc>
          <w:tcPr>
            <w:tcW w:w="1701" w:type="dxa"/>
            <w:vAlign w:val="center"/>
          </w:tcPr>
          <w:p w14:paraId="766CBC10" w14:textId="77777777" w:rsidR="00EE4EDB" w:rsidRDefault="00000000">
            <w:pPr>
              <w:jc w:val="center"/>
            </w:pPr>
            <w:r>
              <w:rPr>
                <w:sz w:val="17"/>
              </w:rPr>
              <w:t>5.22 (2.88)</w:t>
            </w:r>
          </w:p>
        </w:tc>
        <w:tc>
          <w:tcPr>
            <w:tcW w:w="1701" w:type="dxa"/>
            <w:vAlign w:val="center"/>
          </w:tcPr>
          <w:p w14:paraId="4477A9B3" w14:textId="77777777" w:rsidR="00EE4EDB" w:rsidRDefault="00000000">
            <w:pPr>
              <w:jc w:val="center"/>
            </w:pPr>
            <w:r>
              <w:rPr>
                <w:sz w:val="17"/>
              </w:rPr>
              <w:t>5.16 (±2.78)</w:t>
            </w:r>
          </w:p>
        </w:tc>
        <w:tc>
          <w:tcPr>
            <w:tcW w:w="1701" w:type="dxa"/>
            <w:vAlign w:val="center"/>
          </w:tcPr>
          <w:p w14:paraId="3DB6037B" w14:textId="77777777" w:rsidR="00EE4EDB" w:rsidRDefault="00000000">
            <w:pPr>
              <w:jc w:val="center"/>
            </w:pPr>
            <w:r>
              <w:rPr>
                <w:sz w:val="17"/>
              </w:rPr>
              <w:t>5.38 (±3.14)</w:t>
            </w:r>
          </w:p>
        </w:tc>
        <w:tc>
          <w:tcPr>
            <w:tcW w:w="1247" w:type="dxa"/>
            <w:vAlign w:val="center"/>
          </w:tcPr>
          <w:p w14:paraId="0AB05C28" w14:textId="77777777" w:rsidR="00EE4EDB" w:rsidRDefault="00000000">
            <w:pPr>
              <w:jc w:val="center"/>
            </w:pPr>
            <w:r>
              <w:rPr>
                <w:sz w:val="17"/>
              </w:rPr>
              <w:t>3-15</w:t>
            </w:r>
          </w:p>
        </w:tc>
        <w:tc>
          <w:tcPr>
            <w:tcW w:w="1077" w:type="dxa"/>
            <w:vAlign w:val="center"/>
          </w:tcPr>
          <w:p w14:paraId="2ACC0F2C" w14:textId="77777777" w:rsidR="00EE4EDB" w:rsidRDefault="00000000">
            <w:pPr>
              <w:jc w:val="center"/>
            </w:pPr>
            <w:r>
              <w:rPr>
                <w:sz w:val="17"/>
              </w:rPr>
              <w:t>-0.660</w:t>
            </w:r>
          </w:p>
        </w:tc>
        <w:tc>
          <w:tcPr>
            <w:tcW w:w="850" w:type="dxa"/>
            <w:vAlign w:val="center"/>
          </w:tcPr>
          <w:p w14:paraId="716EDE01" w14:textId="77777777" w:rsidR="00EE4EDB" w:rsidRDefault="00000000">
            <w:pPr>
              <w:jc w:val="center"/>
            </w:pPr>
            <w:r>
              <w:rPr>
                <w:sz w:val="17"/>
              </w:rPr>
              <w:t>.510</w:t>
            </w:r>
          </w:p>
        </w:tc>
      </w:tr>
      <w:tr w:rsidR="00EE4EDB" w14:paraId="57E4839D" w14:textId="77777777">
        <w:trPr>
          <w:jc w:val="center"/>
        </w:trPr>
        <w:tc>
          <w:tcPr>
            <w:tcW w:w="2494" w:type="dxa"/>
            <w:vAlign w:val="center"/>
          </w:tcPr>
          <w:p w14:paraId="6A3B5990" w14:textId="77777777" w:rsidR="00EE4EDB" w:rsidRDefault="00000000">
            <w:r>
              <w:rPr>
                <w:sz w:val="17"/>
              </w:rPr>
              <w:t>Non-acceptance</w:t>
            </w:r>
          </w:p>
        </w:tc>
        <w:tc>
          <w:tcPr>
            <w:tcW w:w="1701" w:type="dxa"/>
            <w:vAlign w:val="center"/>
          </w:tcPr>
          <w:p w14:paraId="01E7E925" w14:textId="77777777" w:rsidR="00EE4EDB" w:rsidRDefault="00000000">
            <w:pPr>
              <w:jc w:val="center"/>
            </w:pPr>
            <w:r>
              <w:rPr>
                <w:sz w:val="17"/>
              </w:rPr>
              <w:t>5.89 (±3.19)</w:t>
            </w:r>
          </w:p>
        </w:tc>
        <w:tc>
          <w:tcPr>
            <w:tcW w:w="1701" w:type="dxa"/>
            <w:vAlign w:val="center"/>
          </w:tcPr>
          <w:p w14:paraId="38E7DF46" w14:textId="77777777" w:rsidR="00EE4EDB" w:rsidRDefault="00000000">
            <w:pPr>
              <w:jc w:val="center"/>
            </w:pPr>
            <w:r>
              <w:rPr>
                <w:sz w:val="17"/>
              </w:rPr>
              <w:t>5.80 (±3.15)</w:t>
            </w:r>
          </w:p>
        </w:tc>
        <w:tc>
          <w:tcPr>
            <w:tcW w:w="1701" w:type="dxa"/>
            <w:vAlign w:val="center"/>
          </w:tcPr>
          <w:p w14:paraId="326D4811" w14:textId="77777777" w:rsidR="00EE4EDB" w:rsidRDefault="00000000">
            <w:pPr>
              <w:jc w:val="center"/>
            </w:pPr>
            <w:r>
              <w:rPr>
                <w:sz w:val="17"/>
              </w:rPr>
              <w:t>6.12 (±3.29)</w:t>
            </w:r>
          </w:p>
        </w:tc>
        <w:tc>
          <w:tcPr>
            <w:tcW w:w="1247" w:type="dxa"/>
            <w:vAlign w:val="center"/>
          </w:tcPr>
          <w:p w14:paraId="2572712B" w14:textId="77777777" w:rsidR="00EE4EDB" w:rsidRDefault="00000000">
            <w:pPr>
              <w:jc w:val="center"/>
            </w:pPr>
            <w:r>
              <w:rPr>
                <w:sz w:val="17"/>
              </w:rPr>
              <w:t>3-15</w:t>
            </w:r>
          </w:p>
        </w:tc>
        <w:tc>
          <w:tcPr>
            <w:tcW w:w="1077" w:type="dxa"/>
            <w:vAlign w:val="center"/>
          </w:tcPr>
          <w:p w14:paraId="326C52EB" w14:textId="77777777" w:rsidR="00EE4EDB" w:rsidRDefault="00000000">
            <w:pPr>
              <w:jc w:val="center"/>
            </w:pPr>
            <w:r>
              <w:rPr>
                <w:sz w:val="17"/>
              </w:rPr>
              <w:t>-0.883</w:t>
            </w:r>
          </w:p>
        </w:tc>
        <w:tc>
          <w:tcPr>
            <w:tcW w:w="850" w:type="dxa"/>
            <w:vAlign w:val="center"/>
          </w:tcPr>
          <w:p w14:paraId="00B5C21D" w14:textId="77777777" w:rsidR="00EE4EDB" w:rsidRDefault="00000000">
            <w:pPr>
              <w:jc w:val="center"/>
            </w:pPr>
            <w:r>
              <w:rPr>
                <w:sz w:val="17"/>
              </w:rPr>
              <w:t>.378</w:t>
            </w:r>
          </w:p>
        </w:tc>
      </w:tr>
      <w:tr w:rsidR="00EE4EDB" w14:paraId="6BF11C4D" w14:textId="77777777">
        <w:trPr>
          <w:jc w:val="center"/>
        </w:trPr>
        <w:tc>
          <w:tcPr>
            <w:tcW w:w="2494" w:type="dxa"/>
            <w:vAlign w:val="center"/>
          </w:tcPr>
          <w:p w14:paraId="7499F6E6" w14:textId="77777777" w:rsidR="00EE4EDB" w:rsidRDefault="00000000">
            <w:r>
              <w:rPr>
                <w:sz w:val="17"/>
              </w:rPr>
              <w:t>Strategies</w:t>
            </w:r>
          </w:p>
        </w:tc>
        <w:tc>
          <w:tcPr>
            <w:tcW w:w="1701" w:type="dxa"/>
            <w:vAlign w:val="center"/>
          </w:tcPr>
          <w:p w14:paraId="51A1CB31" w14:textId="77777777" w:rsidR="00EE4EDB" w:rsidRDefault="00000000">
            <w:pPr>
              <w:jc w:val="center"/>
            </w:pPr>
            <w:r>
              <w:rPr>
                <w:sz w:val="17"/>
              </w:rPr>
              <w:t>6.23 (±3.38)</w:t>
            </w:r>
          </w:p>
        </w:tc>
        <w:tc>
          <w:tcPr>
            <w:tcW w:w="1701" w:type="dxa"/>
            <w:vAlign w:val="center"/>
          </w:tcPr>
          <w:p w14:paraId="46FCF762" w14:textId="77777777" w:rsidR="00EE4EDB" w:rsidRDefault="00000000">
            <w:pPr>
              <w:jc w:val="center"/>
            </w:pPr>
            <w:r>
              <w:rPr>
                <w:sz w:val="17"/>
              </w:rPr>
              <w:t>6.11 (±3.34)</w:t>
            </w:r>
          </w:p>
        </w:tc>
        <w:tc>
          <w:tcPr>
            <w:tcW w:w="1701" w:type="dxa"/>
            <w:vAlign w:val="center"/>
          </w:tcPr>
          <w:p w14:paraId="71AB499C" w14:textId="77777777" w:rsidR="00EE4EDB" w:rsidRDefault="00000000">
            <w:pPr>
              <w:jc w:val="center"/>
            </w:pPr>
            <w:r>
              <w:rPr>
                <w:sz w:val="17"/>
              </w:rPr>
              <w:t>6.55 (±3.49)</w:t>
            </w:r>
          </w:p>
        </w:tc>
        <w:tc>
          <w:tcPr>
            <w:tcW w:w="1247" w:type="dxa"/>
            <w:vAlign w:val="center"/>
          </w:tcPr>
          <w:p w14:paraId="5333CBCC" w14:textId="77777777" w:rsidR="00EE4EDB" w:rsidRDefault="00000000">
            <w:pPr>
              <w:jc w:val="center"/>
            </w:pPr>
            <w:r>
              <w:rPr>
                <w:sz w:val="17"/>
              </w:rPr>
              <w:t>3-15</w:t>
            </w:r>
          </w:p>
        </w:tc>
        <w:tc>
          <w:tcPr>
            <w:tcW w:w="1077" w:type="dxa"/>
            <w:vAlign w:val="center"/>
          </w:tcPr>
          <w:p w14:paraId="051E4122" w14:textId="77777777" w:rsidR="00EE4EDB" w:rsidRDefault="00000000">
            <w:pPr>
              <w:jc w:val="center"/>
            </w:pPr>
            <w:r>
              <w:rPr>
                <w:sz w:val="17"/>
              </w:rPr>
              <w:t>-1.135</w:t>
            </w:r>
          </w:p>
        </w:tc>
        <w:tc>
          <w:tcPr>
            <w:tcW w:w="850" w:type="dxa"/>
            <w:vAlign w:val="center"/>
          </w:tcPr>
          <w:p w14:paraId="74B557AA" w14:textId="77777777" w:rsidR="00EE4EDB" w:rsidRDefault="00000000">
            <w:pPr>
              <w:jc w:val="center"/>
            </w:pPr>
            <w:r>
              <w:rPr>
                <w:sz w:val="17"/>
              </w:rPr>
              <w:t>.268</w:t>
            </w:r>
          </w:p>
        </w:tc>
      </w:tr>
      <w:tr w:rsidR="00EE4EDB" w14:paraId="6792E866" w14:textId="77777777">
        <w:trPr>
          <w:jc w:val="center"/>
        </w:trPr>
        <w:tc>
          <w:tcPr>
            <w:tcW w:w="2494" w:type="dxa"/>
            <w:vAlign w:val="center"/>
          </w:tcPr>
          <w:p w14:paraId="1BD7A671" w14:textId="77777777" w:rsidR="00EE4EDB" w:rsidRDefault="00000000">
            <w:r>
              <w:rPr>
                <w:sz w:val="17"/>
              </w:rPr>
              <w:t>IAT-WOW</w:t>
            </w:r>
          </w:p>
        </w:tc>
        <w:tc>
          <w:tcPr>
            <w:tcW w:w="1701" w:type="dxa"/>
            <w:vAlign w:val="center"/>
          </w:tcPr>
          <w:p w14:paraId="3B190941" w14:textId="77777777" w:rsidR="00EE4EDB" w:rsidRDefault="00000000">
            <w:pPr>
              <w:jc w:val="center"/>
            </w:pPr>
            <w:r>
              <w:rPr>
                <w:sz w:val="17"/>
              </w:rPr>
              <w:t>46.97 (±11.89)</w:t>
            </w:r>
          </w:p>
        </w:tc>
        <w:tc>
          <w:tcPr>
            <w:tcW w:w="1701" w:type="dxa"/>
            <w:vAlign w:val="center"/>
          </w:tcPr>
          <w:p w14:paraId="4A84D209" w14:textId="77777777" w:rsidR="00EE4EDB" w:rsidRDefault="00000000">
            <w:pPr>
              <w:jc w:val="center"/>
            </w:pPr>
            <w:r>
              <w:rPr>
                <w:sz w:val="17"/>
              </w:rPr>
              <w:t>47.56 (±11.84)</w:t>
            </w:r>
          </w:p>
        </w:tc>
        <w:tc>
          <w:tcPr>
            <w:tcW w:w="1701" w:type="dxa"/>
            <w:vAlign w:val="center"/>
          </w:tcPr>
          <w:p w14:paraId="647A91C9" w14:textId="77777777" w:rsidR="00EE4EDB" w:rsidRDefault="00000000">
            <w:pPr>
              <w:jc w:val="center"/>
            </w:pPr>
            <w:r>
              <w:rPr>
                <w:sz w:val="17"/>
              </w:rPr>
              <w:t>45.28 (±11.91)</w:t>
            </w:r>
          </w:p>
        </w:tc>
        <w:tc>
          <w:tcPr>
            <w:tcW w:w="1247" w:type="dxa"/>
            <w:vAlign w:val="center"/>
          </w:tcPr>
          <w:p w14:paraId="4D37C926" w14:textId="77777777" w:rsidR="00EE4EDB" w:rsidRDefault="00000000">
            <w:pPr>
              <w:jc w:val="center"/>
            </w:pPr>
            <w:r>
              <w:rPr>
                <w:sz w:val="17"/>
              </w:rPr>
              <w:t>20-100</w:t>
            </w:r>
          </w:p>
        </w:tc>
        <w:tc>
          <w:tcPr>
            <w:tcW w:w="1077" w:type="dxa"/>
            <w:vAlign w:val="center"/>
          </w:tcPr>
          <w:p w14:paraId="702C9DAE" w14:textId="77777777" w:rsidR="00EE4EDB" w:rsidRDefault="00000000">
            <w:pPr>
              <w:jc w:val="center"/>
            </w:pPr>
            <w:r>
              <w:rPr>
                <w:sz w:val="17"/>
              </w:rPr>
              <w:t>1.661</w:t>
            </w:r>
          </w:p>
        </w:tc>
        <w:tc>
          <w:tcPr>
            <w:tcW w:w="850" w:type="dxa"/>
            <w:vAlign w:val="center"/>
          </w:tcPr>
          <w:p w14:paraId="7AAA051B" w14:textId="77777777" w:rsidR="00EE4EDB" w:rsidRDefault="00000000">
            <w:pPr>
              <w:jc w:val="center"/>
            </w:pPr>
            <w:r>
              <w:rPr>
                <w:sz w:val="17"/>
              </w:rPr>
              <w:t>.098</w:t>
            </w:r>
          </w:p>
        </w:tc>
      </w:tr>
      <w:tr w:rsidR="00EE4EDB" w14:paraId="71256980" w14:textId="77777777">
        <w:trPr>
          <w:jc w:val="center"/>
        </w:trPr>
        <w:tc>
          <w:tcPr>
            <w:tcW w:w="2494" w:type="dxa"/>
            <w:vAlign w:val="center"/>
          </w:tcPr>
          <w:p w14:paraId="09EA7A2F" w14:textId="77777777" w:rsidR="00EE4EDB" w:rsidRDefault="00000000">
            <w:r>
              <w:rPr>
                <w:sz w:val="17"/>
              </w:rPr>
              <w:t>Escapism</w:t>
            </w:r>
          </w:p>
        </w:tc>
        <w:tc>
          <w:tcPr>
            <w:tcW w:w="1701" w:type="dxa"/>
            <w:vAlign w:val="center"/>
          </w:tcPr>
          <w:p w14:paraId="035E0A7C" w14:textId="77777777" w:rsidR="00EE4EDB" w:rsidRDefault="00000000">
            <w:pPr>
              <w:jc w:val="center"/>
            </w:pPr>
            <w:r>
              <w:rPr>
                <w:sz w:val="17"/>
              </w:rPr>
              <w:t>10 (±2.64)</w:t>
            </w:r>
          </w:p>
        </w:tc>
        <w:tc>
          <w:tcPr>
            <w:tcW w:w="1701" w:type="dxa"/>
            <w:vAlign w:val="center"/>
          </w:tcPr>
          <w:p w14:paraId="49C4ED5F" w14:textId="77777777" w:rsidR="00EE4EDB" w:rsidRDefault="00000000">
            <w:pPr>
              <w:jc w:val="center"/>
            </w:pPr>
            <w:r>
              <w:rPr>
                <w:sz w:val="17"/>
              </w:rPr>
              <w:t>9.95 (±2.61)</w:t>
            </w:r>
          </w:p>
        </w:tc>
        <w:tc>
          <w:tcPr>
            <w:tcW w:w="1701" w:type="dxa"/>
            <w:vAlign w:val="center"/>
          </w:tcPr>
          <w:p w14:paraId="22D32370" w14:textId="77777777" w:rsidR="00EE4EDB" w:rsidRDefault="00000000">
            <w:pPr>
              <w:jc w:val="center"/>
            </w:pPr>
            <w:r>
              <w:rPr>
                <w:sz w:val="17"/>
              </w:rPr>
              <w:t>10.12 (±14.68)</w:t>
            </w:r>
          </w:p>
        </w:tc>
        <w:tc>
          <w:tcPr>
            <w:tcW w:w="1247" w:type="dxa"/>
            <w:vAlign w:val="center"/>
          </w:tcPr>
          <w:p w14:paraId="190355EF" w14:textId="77777777" w:rsidR="00EE4EDB" w:rsidRDefault="00000000">
            <w:pPr>
              <w:jc w:val="center"/>
            </w:pPr>
            <w:r>
              <w:rPr>
                <w:sz w:val="17"/>
              </w:rPr>
              <w:t>3-15</w:t>
            </w:r>
          </w:p>
        </w:tc>
        <w:tc>
          <w:tcPr>
            <w:tcW w:w="1077" w:type="dxa"/>
            <w:vAlign w:val="center"/>
          </w:tcPr>
          <w:p w14:paraId="300467EC" w14:textId="77777777" w:rsidR="00EE4EDB" w:rsidRDefault="00000000">
            <w:pPr>
              <w:jc w:val="center"/>
            </w:pPr>
            <w:r>
              <w:rPr>
                <w:sz w:val="17"/>
              </w:rPr>
              <w:t>-0.568</w:t>
            </w:r>
          </w:p>
        </w:tc>
        <w:tc>
          <w:tcPr>
            <w:tcW w:w="850" w:type="dxa"/>
            <w:vAlign w:val="center"/>
          </w:tcPr>
          <w:p w14:paraId="3413A81F" w14:textId="77777777" w:rsidR="00EE4EDB" w:rsidRDefault="00000000">
            <w:pPr>
              <w:jc w:val="center"/>
            </w:pPr>
            <w:r>
              <w:rPr>
                <w:sz w:val="17"/>
              </w:rPr>
              <w:t>.570</w:t>
            </w:r>
          </w:p>
        </w:tc>
      </w:tr>
      <w:tr w:rsidR="00EE4EDB" w14:paraId="426AD9CA" w14:textId="77777777">
        <w:trPr>
          <w:jc w:val="center"/>
        </w:trPr>
        <w:tc>
          <w:tcPr>
            <w:tcW w:w="2494" w:type="dxa"/>
            <w:vAlign w:val="center"/>
          </w:tcPr>
          <w:p w14:paraId="434D5533" w14:textId="77777777" w:rsidR="00EE4EDB" w:rsidRDefault="00000000">
            <w:r>
              <w:rPr>
                <w:sz w:val="17"/>
              </w:rPr>
              <w:t>Weekly hours of play</w:t>
            </w:r>
          </w:p>
        </w:tc>
        <w:tc>
          <w:tcPr>
            <w:tcW w:w="1701" w:type="dxa"/>
            <w:vAlign w:val="center"/>
          </w:tcPr>
          <w:p w14:paraId="08CA6F8E" w14:textId="77777777" w:rsidR="00EE4EDB" w:rsidRDefault="00000000">
            <w:pPr>
              <w:jc w:val="center"/>
            </w:pPr>
            <w:r>
              <w:rPr>
                <w:sz w:val="17"/>
              </w:rPr>
              <w:t>23.26 (±15.32)</w:t>
            </w:r>
          </w:p>
        </w:tc>
        <w:tc>
          <w:tcPr>
            <w:tcW w:w="1701" w:type="dxa"/>
            <w:vAlign w:val="center"/>
          </w:tcPr>
          <w:p w14:paraId="59264EE2" w14:textId="77777777" w:rsidR="00EE4EDB" w:rsidRDefault="00000000">
            <w:pPr>
              <w:jc w:val="center"/>
            </w:pPr>
            <w:r>
              <w:rPr>
                <w:sz w:val="17"/>
              </w:rPr>
              <w:t>23.26 (±15.32)</w:t>
            </w:r>
          </w:p>
        </w:tc>
        <w:tc>
          <w:tcPr>
            <w:tcW w:w="1701" w:type="dxa"/>
            <w:vAlign w:val="center"/>
          </w:tcPr>
          <w:p w14:paraId="2DAD2C10" w14:textId="77777777" w:rsidR="00EE4EDB" w:rsidRDefault="00000000">
            <w:pPr>
              <w:jc w:val="center"/>
            </w:pPr>
            <w:r>
              <w:rPr>
                <w:sz w:val="17"/>
              </w:rPr>
              <w:t>22.89 (±15.19)</w:t>
            </w:r>
          </w:p>
        </w:tc>
        <w:tc>
          <w:tcPr>
            <w:tcW w:w="1247" w:type="dxa"/>
            <w:vAlign w:val="center"/>
          </w:tcPr>
          <w:p w14:paraId="6780343B" w14:textId="77777777" w:rsidR="00EE4EDB" w:rsidRDefault="00000000">
            <w:pPr>
              <w:jc w:val="center"/>
            </w:pPr>
            <w:r>
              <w:rPr>
                <w:sz w:val="17"/>
              </w:rPr>
              <w:t>1-105</w:t>
            </w:r>
          </w:p>
        </w:tc>
        <w:tc>
          <w:tcPr>
            <w:tcW w:w="1077" w:type="dxa"/>
            <w:vAlign w:val="center"/>
          </w:tcPr>
          <w:p w14:paraId="3C60B425" w14:textId="77777777" w:rsidR="00EE4EDB" w:rsidRDefault="00000000">
            <w:pPr>
              <w:jc w:val="center"/>
            </w:pPr>
            <w:r>
              <w:rPr>
                <w:sz w:val="17"/>
              </w:rPr>
              <w:t>0.214</w:t>
            </w:r>
          </w:p>
        </w:tc>
        <w:tc>
          <w:tcPr>
            <w:tcW w:w="850" w:type="dxa"/>
            <w:vAlign w:val="center"/>
          </w:tcPr>
          <w:p w14:paraId="64EBBAD1" w14:textId="77777777" w:rsidR="00EE4EDB" w:rsidRDefault="00000000">
            <w:pPr>
              <w:jc w:val="center"/>
            </w:pPr>
            <w:r>
              <w:rPr>
                <w:sz w:val="17"/>
              </w:rPr>
              <w:t>.830</w:t>
            </w:r>
          </w:p>
        </w:tc>
      </w:tr>
      <w:tr w:rsidR="00EE4EDB" w14:paraId="01B7EF2D" w14:textId="77777777">
        <w:trPr>
          <w:jc w:val="center"/>
        </w:trPr>
        <w:tc>
          <w:tcPr>
            <w:tcW w:w="2494" w:type="dxa"/>
            <w:vAlign w:val="center"/>
          </w:tcPr>
          <w:p w14:paraId="1831E983" w14:textId="77777777" w:rsidR="00EE4EDB" w:rsidRDefault="00000000">
            <w:r>
              <w:rPr>
                <w:sz w:val="17"/>
              </w:rPr>
              <w:t>Months of play</w:t>
            </w:r>
          </w:p>
        </w:tc>
        <w:tc>
          <w:tcPr>
            <w:tcW w:w="1701" w:type="dxa"/>
            <w:vAlign w:val="center"/>
          </w:tcPr>
          <w:p w14:paraId="4DD7F2DF" w14:textId="77777777" w:rsidR="00EE4EDB" w:rsidRDefault="00000000">
            <w:pPr>
              <w:jc w:val="center"/>
            </w:pPr>
            <w:r>
              <w:rPr>
                <w:sz w:val="17"/>
              </w:rPr>
              <w:t>71.33 (±42.97)</w:t>
            </w:r>
          </w:p>
        </w:tc>
        <w:tc>
          <w:tcPr>
            <w:tcW w:w="1701" w:type="dxa"/>
            <w:vAlign w:val="center"/>
          </w:tcPr>
          <w:p w14:paraId="708D3C43" w14:textId="77777777" w:rsidR="00EE4EDB" w:rsidRDefault="00000000">
            <w:pPr>
              <w:jc w:val="center"/>
            </w:pPr>
            <w:r>
              <w:rPr>
                <w:sz w:val="17"/>
              </w:rPr>
              <w:t>73.47 (±42.42)</w:t>
            </w:r>
          </w:p>
        </w:tc>
        <w:tc>
          <w:tcPr>
            <w:tcW w:w="1701" w:type="dxa"/>
            <w:vAlign w:val="center"/>
          </w:tcPr>
          <w:p w14:paraId="754DBBB7" w14:textId="77777777" w:rsidR="00EE4EDB" w:rsidRDefault="00000000">
            <w:pPr>
              <w:jc w:val="center"/>
            </w:pPr>
            <w:r>
              <w:rPr>
                <w:sz w:val="17"/>
              </w:rPr>
              <w:t>65.21 (±44.16)</w:t>
            </w:r>
          </w:p>
        </w:tc>
        <w:tc>
          <w:tcPr>
            <w:tcW w:w="1247" w:type="dxa"/>
            <w:vAlign w:val="center"/>
          </w:tcPr>
          <w:p w14:paraId="4227528B" w14:textId="77777777" w:rsidR="00EE4EDB" w:rsidRDefault="00000000">
            <w:pPr>
              <w:jc w:val="center"/>
            </w:pPr>
            <w:r>
              <w:rPr>
                <w:sz w:val="17"/>
              </w:rPr>
              <w:t>1-168</w:t>
            </w:r>
          </w:p>
        </w:tc>
        <w:tc>
          <w:tcPr>
            <w:tcW w:w="1077" w:type="dxa"/>
            <w:vAlign w:val="center"/>
          </w:tcPr>
          <w:p w14:paraId="79966A18" w14:textId="77777777" w:rsidR="00EE4EDB" w:rsidRDefault="00000000">
            <w:pPr>
              <w:jc w:val="center"/>
            </w:pPr>
            <w:r>
              <w:rPr>
                <w:sz w:val="17"/>
              </w:rPr>
              <w:t>1.666</w:t>
            </w:r>
          </w:p>
        </w:tc>
        <w:tc>
          <w:tcPr>
            <w:tcW w:w="850" w:type="dxa"/>
            <w:vAlign w:val="center"/>
          </w:tcPr>
          <w:p w14:paraId="1A71257D" w14:textId="77777777" w:rsidR="00EE4EDB" w:rsidRDefault="00000000">
            <w:pPr>
              <w:jc w:val="center"/>
            </w:pPr>
            <w:r>
              <w:rPr>
                <w:sz w:val="17"/>
              </w:rPr>
              <w:t>.096</w:t>
            </w:r>
          </w:p>
        </w:tc>
      </w:tr>
    </w:tbl>
    <w:p w14:paraId="085F3EC2" w14:textId="77777777" w:rsidR="00EE4EDB" w:rsidRPr="009A5D51" w:rsidRDefault="00000000">
      <w:pPr>
        <w:spacing w:after="0" w:line="360" w:lineRule="auto"/>
        <w:jc w:val="both"/>
        <w:rPr>
          <w:lang w:val="ru-RU"/>
        </w:rPr>
      </w:pPr>
      <w:r w:rsidRPr="009A5D51">
        <w:rPr>
          <w:sz w:val="20"/>
          <w:lang w:val="ru-RU"/>
        </w:rPr>
        <w:t xml:space="preserve">Примечание. </w:t>
      </w:r>
      <w:r>
        <w:rPr>
          <w:sz w:val="20"/>
        </w:rPr>
        <w:t>M</w:t>
      </w:r>
      <w:r w:rsidRPr="009A5D51">
        <w:rPr>
          <w:sz w:val="20"/>
          <w:lang w:val="ru-RU"/>
        </w:rPr>
        <w:t xml:space="preserve"> - среднее; </w:t>
      </w:r>
      <w:r>
        <w:rPr>
          <w:sz w:val="20"/>
        </w:rPr>
        <w:t>SD</w:t>
      </w:r>
      <w:r w:rsidRPr="009A5D51">
        <w:rPr>
          <w:sz w:val="20"/>
          <w:lang w:val="ru-RU"/>
        </w:rPr>
        <w:t xml:space="preserve"> - стандартное отклонение; </w:t>
      </w:r>
      <w:r>
        <w:rPr>
          <w:sz w:val="20"/>
        </w:rPr>
        <w:t>DERS</w:t>
      </w:r>
      <w:r w:rsidRPr="009A5D51">
        <w:rPr>
          <w:sz w:val="20"/>
          <w:lang w:val="ru-RU"/>
        </w:rPr>
        <w:t xml:space="preserve"> - Шкала трудностей регуляции эмоций; </w:t>
      </w:r>
      <w:r>
        <w:rPr>
          <w:sz w:val="20"/>
        </w:rPr>
        <w:t>IAT</w:t>
      </w:r>
      <w:r w:rsidRPr="009A5D51">
        <w:rPr>
          <w:sz w:val="20"/>
          <w:lang w:val="ru-RU"/>
        </w:rPr>
        <w:t>-</w:t>
      </w:r>
      <w:r>
        <w:rPr>
          <w:sz w:val="20"/>
        </w:rPr>
        <w:t>WOW</w:t>
      </w:r>
      <w:r w:rsidRPr="009A5D51">
        <w:rPr>
          <w:sz w:val="20"/>
          <w:lang w:val="ru-RU"/>
        </w:rPr>
        <w:t xml:space="preserve"> - Тест интернет-зависимости - версия для </w:t>
      </w:r>
      <w:r>
        <w:rPr>
          <w:sz w:val="20"/>
        </w:rPr>
        <w:t>World</w:t>
      </w:r>
      <w:r w:rsidRPr="009A5D51">
        <w:rPr>
          <w:sz w:val="20"/>
          <w:lang w:val="ru-RU"/>
        </w:rPr>
        <w:t xml:space="preserve"> </w:t>
      </w:r>
      <w:r>
        <w:rPr>
          <w:sz w:val="20"/>
        </w:rPr>
        <w:t>of</w:t>
      </w:r>
      <w:r w:rsidRPr="009A5D51">
        <w:rPr>
          <w:sz w:val="20"/>
          <w:lang w:val="ru-RU"/>
        </w:rPr>
        <w:t xml:space="preserve"> </w:t>
      </w:r>
      <w:r>
        <w:rPr>
          <w:sz w:val="20"/>
        </w:rPr>
        <w:t>Warcraft</w:t>
      </w:r>
      <w:r w:rsidRPr="009A5D51">
        <w:rPr>
          <w:sz w:val="20"/>
          <w:lang w:val="ru-RU"/>
        </w:rPr>
        <w:t>.</w:t>
      </w:r>
    </w:p>
    <w:p w14:paraId="48F74ECD" w14:textId="77777777" w:rsidR="00EE4EDB" w:rsidRPr="009A5D51" w:rsidRDefault="00000000">
      <w:pPr>
        <w:spacing w:after="0" w:line="360" w:lineRule="auto"/>
        <w:ind w:firstLine="357"/>
        <w:jc w:val="both"/>
        <w:rPr>
          <w:lang w:val="ru-RU"/>
        </w:rPr>
      </w:pPr>
      <w:r w:rsidRPr="009A5D51">
        <w:rPr>
          <w:lang w:val="ru-RU"/>
        </w:rPr>
        <w:t xml:space="preserve">Большинство игроков (92.8%) играли в </w:t>
      </w:r>
      <w:r>
        <w:t>WoW</w:t>
      </w:r>
      <w:r w:rsidRPr="009A5D51">
        <w:rPr>
          <w:lang w:val="ru-RU"/>
        </w:rPr>
        <w:t xml:space="preserve"> более 12 месяцев, что указывает на высокий игровой опыт по показателю числа месяцев игры (</w:t>
      </w:r>
      <w:r>
        <w:t>M</w:t>
      </w:r>
      <w:r w:rsidRPr="009A5D51">
        <w:rPr>
          <w:lang w:val="ru-RU"/>
        </w:rPr>
        <w:t xml:space="preserve"> = 71.33, </w:t>
      </w:r>
      <w:r>
        <w:t>SD</w:t>
      </w:r>
      <w:r w:rsidRPr="009A5D51">
        <w:rPr>
          <w:lang w:val="ru-RU"/>
        </w:rPr>
        <w:t xml:space="preserve"> = 42.97). В среднем участники не сообщали о высоких значениях </w:t>
      </w:r>
      <w:r>
        <w:t>ED</w:t>
      </w:r>
      <w:r w:rsidRPr="009A5D51">
        <w:rPr>
          <w:lang w:val="ru-RU"/>
        </w:rPr>
        <w:t xml:space="preserve"> (</w:t>
      </w:r>
      <w:r>
        <w:t>M</w:t>
      </w:r>
      <w:r w:rsidRPr="009A5D51">
        <w:rPr>
          <w:lang w:val="ru-RU"/>
        </w:rPr>
        <w:t xml:space="preserve"> = 38.51, </w:t>
      </w:r>
      <w:r>
        <w:t>SD</w:t>
      </w:r>
      <w:r w:rsidRPr="009A5D51">
        <w:rPr>
          <w:lang w:val="ru-RU"/>
        </w:rPr>
        <w:t xml:space="preserve"> = 13.07) по сравнению с другими выборками (</w:t>
      </w:r>
      <w:r>
        <w:t>Sighinolfi</w:t>
      </w:r>
      <w:r w:rsidRPr="009A5D51">
        <w:rPr>
          <w:lang w:val="ru-RU"/>
        </w:rPr>
        <w:t xml:space="preserve"> </w:t>
      </w:r>
      <w:r>
        <w:t>et</w:t>
      </w:r>
      <w:r w:rsidRPr="009A5D51">
        <w:rPr>
          <w:lang w:val="ru-RU"/>
        </w:rPr>
        <w:t xml:space="preserve"> </w:t>
      </w:r>
      <w:r>
        <w:t>al</w:t>
      </w:r>
      <w:r w:rsidRPr="009A5D51">
        <w:rPr>
          <w:lang w:val="ru-RU"/>
        </w:rPr>
        <w:t>., 2010), хотя наблюдалась несколько более высокая склонность играть ради ухода от реальности (</w:t>
      </w:r>
      <w:r>
        <w:t>M</w:t>
      </w:r>
      <w:r w:rsidRPr="009A5D51">
        <w:rPr>
          <w:lang w:val="ru-RU"/>
        </w:rPr>
        <w:t xml:space="preserve"> = 10.00, </w:t>
      </w:r>
      <w:r>
        <w:t>SD</w:t>
      </w:r>
      <w:r w:rsidRPr="009A5D51">
        <w:rPr>
          <w:lang w:val="ru-RU"/>
        </w:rPr>
        <w:t xml:space="preserve"> = 2.64) по сравнению с другими исследованиями (например, </w:t>
      </w:r>
      <w:r>
        <w:t>Kaczmarek</w:t>
      </w:r>
      <w:r w:rsidRPr="009A5D51">
        <w:rPr>
          <w:lang w:val="ru-RU"/>
        </w:rPr>
        <w:t xml:space="preserve"> &amp; </w:t>
      </w:r>
      <w:r>
        <w:t>Dr</w:t>
      </w:r>
      <w:r w:rsidRPr="009A5D51">
        <w:rPr>
          <w:lang w:val="ru-RU"/>
        </w:rPr>
        <w:t>ąż</w:t>
      </w:r>
      <w:r>
        <w:t>kowski</w:t>
      </w:r>
      <w:r w:rsidRPr="009A5D51">
        <w:rPr>
          <w:lang w:val="ru-RU"/>
        </w:rPr>
        <w:t xml:space="preserve">, 2014). По шкале </w:t>
      </w:r>
      <w:r>
        <w:t>IAT</w:t>
      </w:r>
      <w:r w:rsidRPr="009A5D51">
        <w:rPr>
          <w:lang w:val="ru-RU"/>
        </w:rPr>
        <w:t>-</w:t>
      </w:r>
      <w:r>
        <w:t>WOW</w:t>
      </w:r>
      <w:r w:rsidRPr="009A5D51">
        <w:rPr>
          <w:lang w:val="ru-RU"/>
        </w:rPr>
        <w:t xml:space="preserve"> сообщались умеренные симптомы </w:t>
      </w:r>
      <w:r>
        <w:t>PG</w:t>
      </w:r>
      <w:r w:rsidRPr="009A5D51">
        <w:rPr>
          <w:lang w:val="ru-RU"/>
        </w:rPr>
        <w:t xml:space="preserve"> (</w:t>
      </w:r>
      <w:r>
        <w:t>M</w:t>
      </w:r>
      <w:r w:rsidRPr="009A5D51">
        <w:rPr>
          <w:lang w:val="ru-RU"/>
        </w:rPr>
        <w:t xml:space="preserve"> = 46.97, </w:t>
      </w:r>
      <w:r>
        <w:t>SD</w:t>
      </w:r>
      <w:r w:rsidRPr="009A5D51">
        <w:rPr>
          <w:lang w:val="ru-RU"/>
        </w:rPr>
        <w:t xml:space="preserve"> = 11.89), сопоставимые с данными других исследований (</w:t>
      </w:r>
      <w:r>
        <w:t>Schimmenti</w:t>
      </w:r>
      <w:r w:rsidRPr="009A5D51">
        <w:rPr>
          <w:lang w:val="ru-RU"/>
        </w:rPr>
        <w:t xml:space="preserve">, </w:t>
      </w:r>
      <w:r>
        <w:t>Infanti</w:t>
      </w:r>
      <w:r w:rsidRPr="009A5D51">
        <w:rPr>
          <w:lang w:val="ru-RU"/>
        </w:rPr>
        <w:t xml:space="preserve">, </w:t>
      </w:r>
      <w:r>
        <w:t>et</w:t>
      </w:r>
      <w:r w:rsidRPr="009A5D51">
        <w:rPr>
          <w:lang w:val="ru-RU"/>
        </w:rPr>
        <w:t xml:space="preserve"> </w:t>
      </w:r>
      <w:r>
        <w:t>al</w:t>
      </w:r>
      <w:r w:rsidRPr="009A5D51">
        <w:rPr>
          <w:lang w:val="ru-RU"/>
        </w:rPr>
        <w:t xml:space="preserve">., 2017; </w:t>
      </w:r>
      <w:r>
        <w:t>Wang</w:t>
      </w:r>
      <w:r w:rsidRPr="009A5D51">
        <w:rPr>
          <w:lang w:val="ru-RU"/>
        </w:rPr>
        <w:t xml:space="preserve"> </w:t>
      </w:r>
      <w:r>
        <w:t>et</w:t>
      </w:r>
      <w:r w:rsidRPr="009A5D51">
        <w:rPr>
          <w:lang w:val="ru-RU"/>
        </w:rPr>
        <w:t xml:space="preserve"> </w:t>
      </w:r>
      <w:r>
        <w:t>al</w:t>
      </w:r>
      <w:r w:rsidRPr="009A5D51">
        <w:rPr>
          <w:lang w:val="ru-RU"/>
        </w:rPr>
        <w:t>., 2017).</w:t>
      </w:r>
    </w:p>
    <w:p w14:paraId="5296F364" w14:textId="77777777" w:rsidR="00EE4EDB" w:rsidRPr="009A5D51" w:rsidRDefault="00000000">
      <w:pPr>
        <w:spacing w:after="0" w:line="360" w:lineRule="auto"/>
        <w:ind w:firstLine="357"/>
        <w:jc w:val="both"/>
        <w:rPr>
          <w:lang w:val="ru-RU"/>
        </w:rPr>
      </w:pPr>
      <w:r w:rsidRPr="009A5D51">
        <w:rPr>
          <w:lang w:val="ru-RU"/>
        </w:rPr>
        <w:t xml:space="preserve">Результаты </w:t>
      </w:r>
      <w:r>
        <w:t>t</w:t>
      </w:r>
      <w:r w:rsidRPr="009A5D51">
        <w:rPr>
          <w:lang w:val="ru-RU"/>
        </w:rPr>
        <w:t xml:space="preserve">-критериев, оценивавших гендерные различия, показали, что мужчины не отличались от женщин по уровню </w:t>
      </w:r>
      <w:r>
        <w:t>PG</w:t>
      </w:r>
      <w:r w:rsidRPr="009A5D51">
        <w:rPr>
          <w:lang w:val="ru-RU"/>
        </w:rPr>
        <w:t xml:space="preserve"> [</w:t>
      </w:r>
      <w:r>
        <w:t>M</w:t>
      </w:r>
      <w:r w:rsidRPr="009A5D51">
        <w:rPr>
          <w:lang w:val="ru-RU"/>
        </w:rPr>
        <w:t xml:space="preserve"> = 47.56, </w:t>
      </w:r>
      <w:r>
        <w:t>SD</w:t>
      </w:r>
      <w:r w:rsidRPr="009A5D51">
        <w:rPr>
          <w:lang w:val="ru-RU"/>
        </w:rPr>
        <w:t xml:space="preserve"> = 11.84 против </w:t>
      </w:r>
      <w:r>
        <w:t>M</w:t>
      </w:r>
      <w:r w:rsidRPr="009A5D51">
        <w:rPr>
          <w:lang w:val="ru-RU"/>
        </w:rPr>
        <w:t xml:space="preserve"> = 45.28, </w:t>
      </w:r>
      <w:r>
        <w:t>SD</w:t>
      </w:r>
      <w:r w:rsidRPr="009A5D51">
        <w:rPr>
          <w:lang w:val="ru-RU"/>
        </w:rPr>
        <w:t xml:space="preserve"> = 11.91, </w:t>
      </w:r>
      <w:r>
        <w:t>t</w:t>
      </w:r>
      <w:r w:rsidRPr="009A5D51">
        <w:rPr>
          <w:lang w:val="ru-RU"/>
        </w:rPr>
        <w:t xml:space="preserve">(388) = 1.661, </w:t>
      </w:r>
      <w:r>
        <w:t>p</w:t>
      </w:r>
      <w:r w:rsidRPr="009A5D51">
        <w:rPr>
          <w:lang w:val="ru-RU"/>
        </w:rPr>
        <w:t xml:space="preserve"> = .098], </w:t>
      </w:r>
      <w:r>
        <w:t>ED</w:t>
      </w:r>
      <w:r w:rsidRPr="009A5D51">
        <w:rPr>
          <w:lang w:val="ru-RU"/>
        </w:rPr>
        <w:t xml:space="preserve"> [</w:t>
      </w:r>
      <w:r>
        <w:t>M</w:t>
      </w:r>
      <w:r w:rsidRPr="009A5D51">
        <w:rPr>
          <w:lang w:val="ru-RU"/>
        </w:rPr>
        <w:t xml:space="preserve"> = 38.21, </w:t>
      </w:r>
      <w:r>
        <w:t>SD</w:t>
      </w:r>
      <w:r w:rsidRPr="009A5D51">
        <w:rPr>
          <w:lang w:val="ru-RU"/>
        </w:rPr>
        <w:t xml:space="preserve"> = 12.47 против </w:t>
      </w:r>
      <w:r>
        <w:t>M</w:t>
      </w:r>
      <w:r w:rsidRPr="009A5D51">
        <w:rPr>
          <w:lang w:val="ru-RU"/>
        </w:rPr>
        <w:t xml:space="preserve"> = 39.36, </w:t>
      </w:r>
      <w:r>
        <w:t>SD</w:t>
      </w:r>
      <w:r w:rsidRPr="009A5D51">
        <w:rPr>
          <w:lang w:val="ru-RU"/>
        </w:rPr>
        <w:t xml:space="preserve"> = 2.73, </w:t>
      </w:r>
      <w:r>
        <w:t>t</w:t>
      </w:r>
      <w:r w:rsidRPr="009A5D51">
        <w:rPr>
          <w:lang w:val="ru-RU"/>
        </w:rPr>
        <w:t xml:space="preserve">(388) = -0.70, </w:t>
      </w:r>
      <w:r>
        <w:t>p</w:t>
      </w:r>
      <w:r w:rsidRPr="009A5D51">
        <w:rPr>
          <w:lang w:val="ru-RU"/>
        </w:rPr>
        <w:t xml:space="preserve"> = .48] или эскапизма [</w:t>
      </w:r>
      <w:r>
        <w:t>M</w:t>
      </w:r>
      <w:r w:rsidRPr="009A5D51">
        <w:rPr>
          <w:lang w:val="ru-RU"/>
        </w:rPr>
        <w:t xml:space="preserve"> = 9.95, </w:t>
      </w:r>
      <w:r>
        <w:t>SD</w:t>
      </w:r>
      <w:r w:rsidRPr="009A5D51">
        <w:rPr>
          <w:lang w:val="ru-RU"/>
        </w:rPr>
        <w:t xml:space="preserve"> = 2.61 против </w:t>
      </w:r>
      <w:r>
        <w:t>M</w:t>
      </w:r>
      <w:r w:rsidRPr="009A5D51">
        <w:rPr>
          <w:lang w:val="ru-RU"/>
        </w:rPr>
        <w:t xml:space="preserve"> = 10.12, </w:t>
      </w:r>
      <w:r>
        <w:t>SD</w:t>
      </w:r>
      <w:r w:rsidRPr="009A5D51">
        <w:rPr>
          <w:lang w:val="ru-RU"/>
        </w:rPr>
        <w:t xml:space="preserve"> = 4.68, </w:t>
      </w:r>
      <w:r>
        <w:t>t</w:t>
      </w:r>
      <w:r w:rsidRPr="009A5D51">
        <w:rPr>
          <w:lang w:val="ru-RU"/>
        </w:rPr>
        <w:t xml:space="preserve">(388) = -0.56, </w:t>
      </w:r>
      <w:r>
        <w:t>p</w:t>
      </w:r>
      <w:r w:rsidRPr="009A5D51">
        <w:rPr>
          <w:lang w:val="ru-RU"/>
        </w:rPr>
        <w:t xml:space="preserve"> = .57]. Они также не различались по времени, проводимому в </w:t>
      </w:r>
      <w:r>
        <w:t>WoW</w:t>
      </w:r>
      <w:r w:rsidRPr="009A5D51">
        <w:rPr>
          <w:lang w:val="ru-RU"/>
        </w:rPr>
        <w:t xml:space="preserve"> еженедельно [</w:t>
      </w:r>
      <w:r>
        <w:t>M</w:t>
      </w:r>
      <w:r w:rsidRPr="009A5D51">
        <w:rPr>
          <w:lang w:val="ru-RU"/>
        </w:rPr>
        <w:t xml:space="preserve"> = 23.26, </w:t>
      </w:r>
      <w:r>
        <w:t>SD</w:t>
      </w:r>
      <w:r w:rsidRPr="009A5D51">
        <w:rPr>
          <w:lang w:val="ru-RU"/>
        </w:rPr>
        <w:t xml:space="preserve"> = 15.32 против </w:t>
      </w:r>
      <w:r>
        <w:t>M</w:t>
      </w:r>
      <w:r w:rsidRPr="009A5D51">
        <w:rPr>
          <w:lang w:val="ru-RU"/>
        </w:rPr>
        <w:t xml:space="preserve"> = 22.89, </w:t>
      </w:r>
      <w:r>
        <w:t>SD</w:t>
      </w:r>
      <w:r w:rsidRPr="009A5D51">
        <w:rPr>
          <w:lang w:val="ru-RU"/>
        </w:rPr>
        <w:t xml:space="preserve"> = 15.19, </w:t>
      </w:r>
      <w:r>
        <w:t>t</w:t>
      </w:r>
      <w:r w:rsidRPr="009A5D51">
        <w:rPr>
          <w:lang w:val="ru-RU"/>
        </w:rPr>
        <w:t xml:space="preserve">(388) = 0.21, </w:t>
      </w:r>
      <w:r>
        <w:t>p</w:t>
      </w:r>
      <w:r w:rsidRPr="009A5D51">
        <w:rPr>
          <w:lang w:val="ru-RU"/>
        </w:rPr>
        <w:t xml:space="preserve"> = .83], или по числу месяцев с начала игры [</w:t>
      </w:r>
      <w:r>
        <w:t>M</w:t>
      </w:r>
      <w:r w:rsidRPr="009A5D51">
        <w:rPr>
          <w:lang w:val="ru-RU"/>
        </w:rPr>
        <w:t xml:space="preserve"> = 73.47, </w:t>
      </w:r>
      <w:r>
        <w:t>SD</w:t>
      </w:r>
      <w:r w:rsidRPr="009A5D51">
        <w:rPr>
          <w:lang w:val="ru-RU"/>
        </w:rPr>
        <w:t xml:space="preserve"> = 42.42 против </w:t>
      </w:r>
      <w:r>
        <w:t>M</w:t>
      </w:r>
      <w:r w:rsidRPr="009A5D51">
        <w:rPr>
          <w:lang w:val="ru-RU"/>
        </w:rPr>
        <w:t xml:space="preserve"> = 65.21, </w:t>
      </w:r>
      <w:r>
        <w:t>SD</w:t>
      </w:r>
      <w:r w:rsidRPr="009A5D51">
        <w:rPr>
          <w:lang w:val="ru-RU"/>
        </w:rPr>
        <w:t xml:space="preserve"> = 44.16, </w:t>
      </w:r>
      <w:r>
        <w:t>t</w:t>
      </w:r>
      <w:r w:rsidRPr="009A5D51">
        <w:rPr>
          <w:lang w:val="ru-RU"/>
        </w:rPr>
        <w:t xml:space="preserve">(388) = 1.66, </w:t>
      </w:r>
      <w:r>
        <w:t>p</w:t>
      </w:r>
      <w:r w:rsidRPr="009A5D51">
        <w:rPr>
          <w:lang w:val="ru-RU"/>
        </w:rPr>
        <w:t xml:space="preserve"> = .096]. Коэффициенты корреляции Пирсона </w:t>
      </w:r>
      <w:r>
        <w:t>r</w:t>
      </w:r>
      <w:r w:rsidRPr="009A5D51">
        <w:rPr>
          <w:lang w:val="ru-RU"/>
        </w:rPr>
        <w:t xml:space="preserve"> между возрастом, временем, проводимым в </w:t>
      </w:r>
      <w:r>
        <w:t>WoW</w:t>
      </w:r>
      <w:r w:rsidRPr="009A5D51">
        <w:rPr>
          <w:lang w:val="ru-RU"/>
        </w:rPr>
        <w:t xml:space="preserve"> еженедельно, и всеми психологическими показателями представлены в таблице 2.</w:t>
      </w:r>
    </w:p>
    <w:p w14:paraId="04042796" w14:textId="77777777" w:rsidR="00EE4EDB" w:rsidRPr="009A5D51" w:rsidRDefault="00000000">
      <w:pPr>
        <w:spacing w:before="120" w:after="60" w:line="240" w:lineRule="auto"/>
        <w:jc w:val="center"/>
        <w:rPr>
          <w:lang w:val="ru-RU"/>
        </w:rPr>
      </w:pPr>
      <w:r w:rsidRPr="009A5D51">
        <w:rPr>
          <w:i/>
          <w:sz w:val="22"/>
          <w:lang w:val="ru-RU"/>
        </w:rPr>
        <w:t xml:space="preserve">Таблица 2. Корреляции между проблемной вовлеченностью в </w:t>
      </w:r>
      <w:r>
        <w:rPr>
          <w:i/>
          <w:sz w:val="22"/>
        </w:rPr>
        <w:t>WoW</w:t>
      </w:r>
      <w:r w:rsidRPr="009A5D51">
        <w:rPr>
          <w:i/>
          <w:sz w:val="22"/>
          <w:lang w:val="ru-RU"/>
        </w:rPr>
        <w:t>, мотивами эскапизма и трудностями регуляции эмоций с их измерениями</w:t>
      </w:r>
    </w:p>
    <w:tbl>
      <w:tblPr>
        <w:tblStyle w:val="aff0"/>
        <w:tblW w:w="0" w:type="auto"/>
        <w:jc w:val="center"/>
        <w:tblLayout w:type="fixed"/>
        <w:tblLook w:val="04A0" w:firstRow="1" w:lastRow="0" w:firstColumn="1" w:lastColumn="0" w:noHBand="0" w:noVBand="1"/>
      </w:tblPr>
      <w:tblGrid>
        <w:gridCol w:w="2835"/>
        <w:gridCol w:w="737"/>
        <w:gridCol w:w="737"/>
        <w:gridCol w:w="737"/>
        <w:gridCol w:w="737"/>
        <w:gridCol w:w="737"/>
        <w:gridCol w:w="737"/>
        <w:gridCol w:w="737"/>
        <w:gridCol w:w="737"/>
        <w:gridCol w:w="737"/>
        <w:gridCol w:w="737"/>
      </w:tblGrid>
      <w:tr w:rsidR="00EE4EDB" w14:paraId="5A249537" w14:textId="77777777">
        <w:trPr>
          <w:tblHeader/>
          <w:jc w:val="center"/>
        </w:trPr>
        <w:tc>
          <w:tcPr>
            <w:tcW w:w="2835" w:type="dxa"/>
            <w:vAlign w:val="center"/>
          </w:tcPr>
          <w:p w14:paraId="2E6F5A51" w14:textId="77777777" w:rsidR="00EE4EDB" w:rsidRDefault="00000000">
            <w:pPr>
              <w:jc w:val="center"/>
            </w:pPr>
            <w:r>
              <w:rPr>
                <w:b/>
                <w:sz w:val="16"/>
              </w:rPr>
              <w:t>Показатели</w:t>
            </w:r>
          </w:p>
        </w:tc>
        <w:tc>
          <w:tcPr>
            <w:tcW w:w="737" w:type="dxa"/>
            <w:vAlign w:val="center"/>
          </w:tcPr>
          <w:p w14:paraId="00E8B171" w14:textId="77777777" w:rsidR="00EE4EDB" w:rsidRDefault="00000000">
            <w:pPr>
              <w:jc w:val="center"/>
            </w:pPr>
            <w:r>
              <w:rPr>
                <w:b/>
                <w:sz w:val="16"/>
              </w:rPr>
              <w:t>1</w:t>
            </w:r>
          </w:p>
        </w:tc>
        <w:tc>
          <w:tcPr>
            <w:tcW w:w="737" w:type="dxa"/>
            <w:vAlign w:val="center"/>
          </w:tcPr>
          <w:p w14:paraId="79EBF19F" w14:textId="77777777" w:rsidR="00EE4EDB" w:rsidRDefault="00000000">
            <w:pPr>
              <w:jc w:val="center"/>
            </w:pPr>
            <w:r>
              <w:rPr>
                <w:b/>
                <w:sz w:val="16"/>
              </w:rPr>
              <w:t>2</w:t>
            </w:r>
          </w:p>
        </w:tc>
        <w:tc>
          <w:tcPr>
            <w:tcW w:w="737" w:type="dxa"/>
            <w:vAlign w:val="center"/>
          </w:tcPr>
          <w:p w14:paraId="6BA15C18" w14:textId="77777777" w:rsidR="00EE4EDB" w:rsidRDefault="00000000">
            <w:pPr>
              <w:jc w:val="center"/>
            </w:pPr>
            <w:r>
              <w:rPr>
                <w:b/>
                <w:sz w:val="16"/>
              </w:rPr>
              <w:t>3</w:t>
            </w:r>
          </w:p>
        </w:tc>
        <w:tc>
          <w:tcPr>
            <w:tcW w:w="737" w:type="dxa"/>
            <w:vAlign w:val="center"/>
          </w:tcPr>
          <w:p w14:paraId="2856E959" w14:textId="77777777" w:rsidR="00EE4EDB" w:rsidRDefault="00000000">
            <w:pPr>
              <w:jc w:val="center"/>
            </w:pPr>
            <w:r>
              <w:rPr>
                <w:b/>
                <w:sz w:val="16"/>
              </w:rPr>
              <w:t>4</w:t>
            </w:r>
          </w:p>
        </w:tc>
        <w:tc>
          <w:tcPr>
            <w:tcW w:w="737" w:type="dxa"/>
            <w:vAlign w:val="center"/>
          </w:tcPr>
          <w:p w14:paraId="2942D313" w14:textId="77777777" w:rsidR="00EE4EDB" w:rsidRDefault="00000000">
            <w:pPr>
              <w:jc w:val="center"/>
            </w:pPr>
            <w:r>
              <w:rPr>
                <w:b/>
                <w:sz w:val="16"/>
              </w:rPr>
              <w:t>5</w:t>
            </w:r>
          </w:p>
        </w:tc>
        <w:tc>
          <w:tcPr>
            <w:tcW w:w="737" w:type="dxa"/>
            <w:vAlign w:val="center"/>
          </w:tcPr>
          <w:p w14:paraId="03A84E48" w14:textId="77777777" w:rsidR="00EE4EDB" w:rsidRDefault="00000000">
            <w:pPr>
              <w:jc w:val="center"/>
            </w:pPr>
            <w:r>
              <w:rPr>
                <w:b/>
                <w:sz w:val="16"/>
              </w:rPr>
              <w:t>6</w:t>
            </w:r>
          </w:p>
        </w:tc>
        <w:tc>
          <w:tcPr>
            <w:tcW w:w="737" w:type="dxa"/>
            <w:vAlign w:val="center"/>
          </w:tcPr>
          <w:p w14:paraId="6ACFD37B" w14:textId="77777777" w:rsidR="00EE4EDB" w:rsidRDefault="00000000">
            <w:pPr>
              <w:jc w:val="center"/>
            </w:pPr>
            <w:r>
              <w:rPr>
                <w:b/>
                <w:sz w:val="16"/>
              </w:rPr>
              <w:t>7</w:t>
            </w:r>
          </w:p>
        </w:tc>
        <w:tc>
          <w:tcPr>
            <w:tcW w:w="737" w:type="dxa"/>
            <w:vAlign w:val="center"/>
          </w:tcPr>
          <w:p w14:paraId="41F0FFC8" w14:textId="77777777" w:rsidR="00EE4EDB" w:rsidRDefault="00000000">
            <w:pPr>
              <w:jc w:val="center"/>
            </w:pPr>
            <w:r>
              <w:rPr>
                <w:b/>
                <w:sz w:val="16"/>
              </w:rPr>
              <w:t>8</w:t>
            </w:r>
          </w:p>
        </w:tc>
        <w:tc>
          <w:tcPr>
            <w:tcW w:w="737" w:type="dxa"/>
            <w:vAlign w:val="center"/>
          </w:tcPr>
          <w:p w14:paraId="55917D49" w14:textId="77777777" w:rsidR="00EE4EDB" w:rsidRDefault="00000000">
            <w:pPr>
              <w:jc w:val="center"/>
            </w:pPr>
            <w:r>
              <w:rPr>
                <w:b/>
                <w:sz w:val="16"/>
              </w:rPr>
              <w:t>9</w:t>
            </w:r>
          </w:p>
        </w:tc>
        <w:tc>
          <w:tcPr>
            <w:tcW w:w="737" w:type="dxa"/>
            <w:vAlign w:val="center"/>
          </w:tcPr>
          <w:p w14:paraId="49804D5C" w14:textId="77777777" w:rsidR="00EE4EDB" w:rsidRDefault="00000000">
            <w:pPr>
              <w:jc w:val="center"/>
            </w:pPr>
            <w:r>
              <w:rPr>
                <w:b/>
                <w:sz w:val="16"/>
              </w:rPr>
              <w:t>10</w:t>
            </w:r>
          </w:p>
        </w:tc>
      </w:tr>
      <w:tr w:rsidR="00EE4EDB" w14:paraId="4D4F1D95" w14:textId="77777777">
        <w:trPr>
          <w:jc w:val="center"/>
        </w:trPr>
        <w:tc>
          <w:tcPr>
            <w:tcW w:w="2835" w:type="dxa"/>
            <w:vAlign w:val="center"/>
          </w:tcPr>
          <w:p w14:paraId="487D542B" w14:textId="77777777" w:rsidR="00EE4EDB" w:rsidRDefault="00000000">
            <w:r>
              <w:rPr>
                <w:sz w:val="15"/>
              </w:rPr>
              <w:t>1. Возраст</w:t>
            </w:r>
          </w:p>
        </w:tc>
        <w:tc>
          <w:tcPr>
            <w:tcW w:w="737" w:type="dxa"/>
            <w:vAlign w:val="center"/>
          </w:tcPr>
          <w:p w14:paraId="0B12D2C3" w14:textId="77777777" w:rsidR="00EE4EDB" w:rsidRDefault="00000000">
            <w:pPr>
              <w:jc w:val="center"/>
            </w:pPr>
            <w:r>
              <w:rPr>
                <w:sz w:val="15"/>
              </w:rPr>
              <w:t>−</w:t>
            </w:r>
          </w:p>
        </w:tc>
        <w:tc>
          <w:tcPr>
            <w:tcW w:w="737" w:type="dxa"/>
            <w:vAlign w:val="center"/>
          </w:tcPr>
          <w:p w14:paraId="6C2C2DD9" w14:textId="77777777" w:rsidR="00EE4EDB" w:rsidRDefault="00EE4EDB">
            <w:pPr>
              <w:jc w:val="center"/>
            </w:pPr>
          </w:p>
        </w:tc>
        <w:tc>
          <w:tcPr>
            <w:tcW w:w="737" w:type="dxa"/>
            <w:vAlign w:val="center"/>
          </w:tcPr>
          <w:p w14:paraId="75E7C1B5" w14:textId="77777777" w:rsidR="00EE4EDB" w:rsidRDefault="00EE4EDB">
            <w:pPr>
              <w:jc w:val="center"/>
            </w:pPr>
          </w:p>
        </w:tc>
        <w:tc>
          <w:tcPr>
            <w:tcW w:w="737" w:type="dxa"/>
            <w:vAlign w:val="center"/>
          </w:tcPr>
          <w:p w14:paraId="56FF41E7" w14:textId="77777777" w:rsidR="00EE4EDB" w:rsidRDefault="00EE4EDB">
            <w:pPr>
              <w:jc w:val="center"/>
            </w:pPr>
          </w:p>
        </w:tc>
        <w:tc>
          <w:tcPr>
            <w:tcW w:w="737" w:type="dxa"/>
            <w:vAlign w:val="center"/>
          </w:tcPr>
          <w:p w14:paraId="19900C38" w14:textId="77777777" w:rsidR="00EE4EDB" w:rsidRDefault="00EE4EDB">
            <w:pPr>
              <w:jc w:val="center"/>
            </w:pPr>
          </w:p>
        </w:tc>
        <w:tc>
          <w:tcPr>
            <w:tcW w:w="737" w:type="dxa"/>
            <w:vAlign w:val="center"/>
          </w:tcPr>
          <w:p w14:paraId="463176E4" w14:textId="77777777" w:rsidR="00EE4EDB" w:rsidRDefault="00EE4EDB">
            <w:pPr>
              <w:jc w:val="center"/>
            </w:pPr>
          </w:p>
        </w:tc>
        <w:tc>
          <w:tcPr>
            <w:tcW w:w="737" w:type="dxa"/>
            <w:vAlign w:val="center"/>
          </w:tcPr>
          <w:p w14:paraId="72AAEBA8" w14:textId="77777777" w:rsidR="00EE4EDB" w:rsidRDefault="00EE4EDB">
            <w:pPr>
              <w:jc w:val="center"/>
            </w:pPr>
          </w:p>
        </w:tc>
        <w:tc>
          <w:tcPr>
            <w:tcW w:w="737" w:type="dxa"/>
            <w:vAlign w:val="center"/>
          </w:tcPr>
          <w:p w14:paraId="221F7C47" w14:textId="77777777" w:rsidR="00EE4EDB" w:rsidRDefault="00EE4EDB">
            <w:pPr>
              <w:jc w:val="center"/>
            </w:pPr>
          </w:p>
        </w:tc>
        <w:tc>
          <w:tcPr>
            <w:tcW w:w="737" w:type="dxa"/>
            <w:vAlign w:val="center"/>
          </w:tcPr>
          <w:p w14:paraId="2CEF6704" w14:textId="77777777" w:rsidR="00EE4EDB" w:rsidRDefault="00EE4EDB">
            <w:pPr>
              <w:jc w:val="center"/>
            </w:pPr>
          </w:p>
        </w:tc>
        <w:tc>
          <w:tcPr>
            <w:tcW w:w="737" w:type="dxa"/>
            <w:vAlign w:val="center"/>
          </w:tcPr>
          <w:p w14:paraId="774FD945" w14:textId="77777777" w:rsidR="00EE4EDB" w:rsidRDefault="00EE4EDB">
            <w:pPr>
              <w:jc w:val="center"/>
            </w:pPr>
          </w:p>
        </w:tc>
      </w:tr>
      <w:tr w:rsidR="00EE4EDB" w14:paraId="05C7BFC7" w14:textId="77777777">
        <w:trPr>
          <w:jc w:val="center"/>
        </w:trPr>
        <w:tc>
          <w:tcPr>
            <w:tcW w:w="2835" w:type="dxa"/>
            <w:vAlign w:val="center"/>
          </w:tcPr>
          <w:p w14:paraId="6F2EBE29" w14:textId="77777777" w:rsidR="00EE4EDB" w:rsidRDefault="00000000">
            <w:r>
              <w:rPr>
                <w:sz w:val="15"/>
              </w:rPr>
              <w:t>2. Часы в неделю</w:t>
            </w:r>
          </w:p>
        </w:tc>
        <w:tc>
          <w:tcPr>
            <w:tcW w:w="737" w:type="dxa"/>
            <w:vAlign w:val="center"/>
          </w:tcPr>
          <w:p w14:paraId="6F420D59" w14:textId="77777777" w:rsidR="00EE4EDB" w:rsidRDefault="00000000">
            <w:pPr>
              <w:jc w:val="center"/>
            </w:pPr>
            <w:r>
              <w:rPr>
                <w:sz w:val="15"/>
              </w:rPr>
              <w:t>−.02</w:t>
            </w:r>
          </w:p>
        </w:tc>
        <w:tc>
          <w:tcPr>
            <w:tcW w:w="737" w:type="dxa"/>
            <w:vAlign w:val="center"/>
          </w:tcPr>
          <w:p w14:paraId="54070318" w14:textId="77777777" w:rsidR="00EE4EDB" w:rsidRDefault="00000000">
            <w:pPr>
              <w:jc w:val="center"/>
            </w:pPr>
            <w:r>
              <w:rPr>
                <w:sz w:val="15"/>
              </w:rPr>
              <w:t>−</w:t>
            </w:r>
          </w:p>
        </w:tc>
        <w:tc>
          <w:tcPr>
            <w:tcW w:w="737" w:type="dxa"/>
            <w:vAlign w:val="center"/>
          </w:tcPr>
          <w:p w14:paraId="2C0EA1FC" w14:textId="77777777" w:rsidR="00EE4EDB" w:rsidRDefault="00EE4EDB">
            <w:pPr>
              <w:jc w:val="center"/>
            </w:pPr>
          </w:p>
        </w:tc>
        <w:tc>
          <w:tcPr>
            <w:tcW w:w="737" w:type="dxa"/>
            <w:vAlign w:val="center"/>
          </w:tcPr>
          <w:p w14:paraId="48691A76" w14:textId="77777777" w:rsidR="00EE4EDB" w:rsidRDefault="00EE4EDB">
            <w:pPr>
              <w:jc w:val="center"/>
            </w:pPr>
          </w:p>
        </w:tc>
        <w:tc>
          <w:tcPr>
            <w:tcW w:w="737" w:type="dxa"/>
            <w:vAlign w:val="center"/>
          </w:tcPr>
          <w:p w14:paraId="0328F983" w14:textId="77777777" w:rsidR="00EE4EDB" w:rsidRDefault="00EE4EDB">
            <w:pPr>
              <w:jc w:val="center"/>
            </w:pPr>
          </w:p>
        </w:tc>
        <w:tc>
          <w:tcPr>
            <w:tcW w:w="737" w:type="dxa"/>
            <w:vAlign w:val="center"/>
          </w:tcPr>
          <w:p w14:paraId="55F8C57E" w14:textId="77777777" w:rsidR="00EE4EDB" w:rsidRDefault="00EE4EDB">
            <w:pPr>
              <w:jc w:val="center"/>
            </w:pPr>
          </w:p>
        </w:tc>
        <w:tc>
          <w:tcPr>
            <w:tcW w:w="737" w:type="dxa"/>
            <w:vAlign w:val="center"/>
          </w:tcPr>
          <w:p w14:paraId="43BD67BD" w14:textId="77777777" w:rsidR="00EE4EDB" w:rsidRDefault="00EE4EDB">
            <w:pPr>
              <w:jc w:val="center"/>
            </w:pPr>
          </w:p>
        </w:tc>
        <w:tc>
          <w:tcPr>
            <w:tcW w:w="737" w:type="dxa"/>
            <w:vAlign w:val="center"/>
          </w:tcPr>
          <w:p w14:paraId="54419CE5" w14:textId="77777777" w:rsidR="00EE4EDB" w:rsidRDefault="00EE4EDB">
            <w:pPr>
              <w:jc w:val="center"/>
            </w:pPr>
          </w:p>
        </w:tc>
        <w:tc>
          <w:tcPr>
            <w:tcW w:w="737" w:type="dxa"/>
            <w:vAlign w:val="center"/>
          </w:tcPr>
          <w:p w14:paraId="742CD1DC" w14:textId="77777777" w:rsidR="00EE4EDB" w:rsidRDefault="00EE4EDB">
            <w:pPr>
              <w:jc w:val="center"/>
            </w:pPr>
          </w:p>
        </w:tc>
        <w:tc>
          <w:tcPr>
            <w:tcW w:w="737" w:type="dxa"/>
            <w:vAlign w:val="center"/>
          </w:tcPr>
          <w:p w14:paraId="767BC880" w14:textId="77777777" w:rsidR="00EE4EDB" w:rsidRDefault="00EE4EDB">
            <w:pPr>
              <w:jc w:val="center"/>
            </w:pPr>
          </w:p>
        </w:tc>
      </w:tr>
      <w:tr w:rsidR="00EE4EDB" w14:paraId="32F2F274" w14:textId="77777777">
        <w:trPr>
          <w:jc w:val="center"/>
        </w:trPr>
        <w:tc>
          <w:tcPr>
            <w:tcW w:w="2835" w:type="dxa"/>
            <w:vAlign w:val="center"/>
          </w:tcPr>
          <w:p w14:paraId="5B14F0B6" w14:textId="77777777" w:rsidR="00EE4EDB" w:rsidRDefault="00000000">
            <w:r>
              <w:rPr>
                <w:sz w:val="15"/>
              </w:rPr>
              <w:t>3. Эскапизм</w:t>
            </w:r>
          </w:p>
        </w:tc>
        <w:tc>
          <w:tcPr>
            <w:tcW w:w="737" w:type="dxa"/>
            <w:vAlign w:val="center"/>
          </w:tcPr>
          <w:p w14:paraId="4D635187" w14:textId="77777777" w:rsidR="00EE4EDB" w:rsidRDefault="00000000">
            <w:pPr>
              <w:jc w:val="center"/>
            </w:pPr>
            <w:r>
              <w:rPr>
                <w:sz w:val="15"/>
              </w:rPr>
              <w:t>−.18***</w:t>
            </w:r>
          </w:p>
        </w:tc>
        <w:tc>
          <w:tcPr>
            <w:tcW w:w="737" w:type="dxa"/>
            <w:vAlign w:val="center"/>
          </w:tcPr>
          <w:p w14:paraId="763B98F5" w14:textId="77777777" w:rsidR="00EE4EDB" w:rsidRDefault="00000000">
            <w:pPr>
              <w:jc w:val="center"/>
            </w:pPr>
            <w:r>
              <w:rPr>
                <w:sz w:val="15"/>
              </w:rPr>
              <w:t>.17***</w:t>
            </w:r>
          </w:p>
        </w:tc>
        <w:tc>
          <w:tcPr>
            <w:tcW w:w="737" w:type="dxa"/>
            <w:vAlign w:val="center"/>
          </w:tcPr>
          <w:p w14:paraId="6767E4F0" w14:textId="77777777" w:rsidR="00EE4EDB" w:rsidRDefault="00000000">
            <w:pPr>
              <w:jc w:val="center"/>
            </w:pPr>
            <w:r>
              <w:rPr>
                <w:sz w:val="15"/>
              </w:rPr>
              <w:t>−</w:t>
            </w:r>
          </w:p>
        </w:tc>
        <w:tc>
          <w:tcPr>
            <w:tcW w:w="737" w:type="dxa"/>
            <w:vAlign w:val="center"/>
          </w:tcPr>
          <w:p w14:paraId="17C6C7A5" w14:textId="77777777" w:rsidR="00EE4EDB" w:rsidRDefault="00EE4EDB">
            <w:pPr>
              <w:jc w:val="center"/>
            </w:pPr>
          </w:p>
        </w:tc>
        <w:tc>
          <w:tcPr>
            <w:tcW w:w="737" w:type="dxa"/>
            <w:vAlign w:val="center"/>
          </w:tcPr>
          <w:p w14:paraId="3FE5D377" w14:textId="77777777" w:rsidR="00EE4EDB" w:rsidRDefault="00EE4EDB">
            <w:pPr>
              <w:jc w:val="center"/>
            </w:pPr>
          </w:p>
        </w:tc>
        <w:tc>
          <w:tcPr>
            <w:tcW w:w="737" w:type="dxa"/>
            <w:vAlign w:val="center"/>
          </w:tcPr>
          <w:p w14:paraId="6EEE63DB" w14:textId="77777777" w:rsidR="00EE4EDB" w:rsidRDefault="00EE4EDB">
            <w:pPr>
              <w:jc w:val="center"/>
            </w:pPr>
          </w:p>
        </w:tc>
        <w:tc>
          <w:tcPr>
            <w:tcW w:w="737" w:type="dxa"/>
            <w:vAlign w:val="center"/>
          </w:tcPr>
          <w:p w14:paraId="4A79AA6A" w14:textId="77777777" w:rsidR="00EE4EDB" w:rsidRDefault="00EE4EDB">
            <w:pPr>
              <w:jc w:val="center"/>
            </w:pPr>
          </w:p>
        </w:tc>
        <w:tc>
          <w:tcPr>
            <w:tcW w:w="737" w:type="dxa"/>
            <w:vAlign w:val="center"/>
          </w:tcPr>
          <w:p w14:paraId="388B86E4" w14:textId="77777777" w:rsidR="00EE4EDB" w:rsidRDefault="00EE4EDB">
            <w:pPr>
              <w:jc w:val="center"/>
            </w:pPr>
          </w:p>
        </w:tc>
        <w:tc>
          <w:tcPr>
            <w:tcW w:w="737" w:type="dxa"/>
            <w:vAlign w:val="center"/>
          </w:tcPr>
          <w:p w14:paraId="5BC29F42" w14:textId="77777777" w:rsidR="00EE4EDB" w:rsidRDefault="00EE4EDB">
            <w:pPr>
              <w:jc w:val="center"/>
            </w:pPr>
          </w:p>
        </w:tc>
        <w:tc>
          <w:tcPr>
            <w:tcW w:w="737" w:type="dxa"/>
            <w:vAlign w:val="center"/>
          </w:tcPr>
          <w:p w14:paraId="54649D4A" w14:textId="77777777" w:rsidR="00EE4EDB" w:rsidRDefault="00EE4EDB">
            <w:pPr>
              <w:jc w:val="center"/>
            </w:pPr>
          </w:p>
        </w:tc>
      </w:tr>
      <w:tr w:rsidR="00EE4EDB" w14:paraId="7B2C5CAC" w14:textId="77777777">
        <w:trPr>
          <w:jc w:val="center"/>
        </w:trPr>
        <w:tc>
          <w:tcPr>
            <w:tcW w:w="2835" w:type="dxa"/>
            <w:vAlign w:val="center"/>
          </w:tcPr>
          <w:p w14:paraId="2D4C2C6D" w14:textId="77777777" w:rsidR="00EE4EDB" w:rsidRDefault="00000000">
            <w:r>
              <w:rPr>
                <w:sz w:val="15"/>
              </w:rPr>
              <w:t>4. IAT-WOW</w:t>
            </w:r>
          </w:p>
        </w:tc>
        <w:tc>
          <w:tcPr>
            <w:tcW w:w="737" w:type="dxa"/>
            <w:vAlign w:val="center"/>
          </w:tcPr>
          <w:p w14:paraId="5E5114BB" w14:textId="77777777" w:rsidR="00EE4EDB" w:rsidRDefault="00000000">
            <w:pPr>
              <w:jc w:val="center"/>
            </w:pPr>
            <w:r>
              <w:rPr>
                <w:sz w:val="15"/>
              </w:rPr>
              <w:t>−.17***</w:t>
            </w:r>
          </w:p>
        </w:tc>
        <w:tc>
          <w:tcPr>
            <w:tcW w:w="737" w:type="dxa"/>
            <w:vAlign w:val="center"/>
          </w:tcPr>
          <w:p w14:paraId="6795408B" w14:textId="77777777" w:rsidR="00EE4EDB" w:rsidRDefault="00000000">
            <w:pPr>
              <w:jc w:val="center"/>
            </w:pPr>
            <w:r>
              <w:rPr>
                <w:sz w:val="15"/>
              </w:rPr>
              <w:t>.21***</w:t>
            </w:r>
          </w:p>
        </w:tc>
        <w:tc>
          <w:tcPr>
            <w:tcW w:w="737" w:type="dxa"/>
            <w:vAlign w:val="center"/>
          </w:tcPr>
          <w:p w14:paraId="63DA02F0" w14:textId="77777777" w:rsidR="00EE4EDB" w:rsidRDefault="00000000">
            <w:pPr>
              <w:jc w:val="center"/>
            </w:pPr>
            <w:r>
              <w:rPr>
                <w:sz w:val="15"/>
              </w:rPr>
              <w:t>.47***</w:t>
            </w:r>
          </w:p>
        </w:tc>
        <w:tc>
          <w:tcPr>
            <w:tcW w:w="737" w:type="dxa"/>
            <w:vAlign w:val="center"/>
          </w:tcPr>
          <w:p w14:paraId="3DAFA75A" w14:textId="77777777" w:rsidR="00EE4EDB" w:rsidRDefault="00000000">
            <w:pPr>
              <w:jc w:val="center"/>
            </w:pPr>
            <w:r>
              <w:rPr>
                <w:sz w:val="15"/>
              </w:rPr>
              <w:t>−</w:t>
            </w:r>
          </w:p>
        </w:tc>
        <w:tc>
          <w:tcPr>
            <w:tcW w:w="737" w:type="dxa"/>
            <w:vAlign w:val="center"/>
          </w:tcPr>
          <w:p w14:paraId="16B3EC55" w14:textId="77777777" w:rsidR="00EE4EDB" w:rsidRDefault="00EE4EDB">
            <w:pPr>
              <w:jc w:val="center"/>
            </w:pPr>
          </w:p>
        </w:tc>
        <w:tc>
          <w:tcPr>
            <w:tcW w:w="737" w:type="dxa"/>
            <w:vAlign w:val="center"/>
          </w:tcPr>
          <w:p w14:paraId="0F7E3B0B" w14:textId="77777777" w:rsidR="00EE4EDB" w:rsidRDefault="00EE4EDB">
            <w:pPr>
              <w:jc w:val="center"/>
            </w:pPr>
          </w:p>
        </w:tc>
        <w:tc>
          <w:tcPr>
            <w:tcW w:w="737" w:type="dxa"/>
            <w:vAlign w:val="center"/>
          </w:tcPr>
          <w:p w14:paraId="78ABD761" w14:textId="77777777" w:rsidR="00EE4EDB" w:rsidRDefault="00EE4EDB">
            <w:pPr>
              <w:jc w:val="center"/>
            </w:pPr>
          </w:p>
        </w:tc>
        <w:tc>
          <w:tcPr>
            <w:tcW w:w="737" w:type="dxa"/>
            <w:vAlign w:val="center"/>
          </w:tcPr>
          <w:p w14:paraId="7372A1E4" w14:textId="77777777" w:rsidR="00EE4EDB" w:rsidRDefault="00EE4EDB">
            <w:pPr>
              <w:jc w:val="center"/>
            </w:pPr>
          </w:p>
        </w:tc>
        <w:tc>
          <w:tcPr>
            <w:tcW w:w="737" w:type="dxa"/>
            <w:vAlign w:val="center"/>
          </w:tcPr>
          <w:p w14:paraId="0FB99933" w14:textId="77777777" w:rsidR="00EE4EDB" w:rsidRDefault="00EE4EDB">
            <w:pPr>
              <w:jc w:val="center"/>
            </w:pPr>
          </w:p>
        </w:tc>
        <w:tc>
          <w:tcPr>
            <w:tcW w:w="737" w:type="dxa"/>
            <w:vAlign w:val="center"/>
          </w:tcPr>
          <w:p w14:paraId="5E36E642" w14:textId="77777777" w:rsidR="00EE4EDB" w:rsidRDefault="00EE4EDB">
            <w:pPr>
              <w:jc w:val="center"/>
            </w:pPr>
          </w:p>
        </w:tc>
      </w:tr>
      <w:tr w:rsidR="00EE4EDB" w14:paraId="4251746E" w14:textId="77777777">
        <w:trPr>
          <w:jc w:val="center"/>
        </w:trPr>
        <w:tc>
          <w:tcPr>
            <w:tcW w:w="2835" w:type="dxa"/>
            <w:vAlign w:val="center"/>
          </w:tcPr>
          <w:p w14:paraId="6FEC257F" w14:textId="77777777" w:rsidR="00EE4EDB" w:rsidRDefault="00000000">
            <w:r>
              <w:rPr>
                <w:sz w:val="15"/>
              </w:rPr>
              <w:t>5. Общий балл DERS</w:t>
            </w:r>
          </w:p>
        </w:tc>
        <w:tc>
          <w:tcPr>
            <w:tcW w:w="737" w:type="dxa"/>
            <w:vAlign w:val="center"/>
          </w:tcPr>
          <w:p w14:paraId="51677272" w14:textId="77777777" w:rsidR="00EE4EDB" w:rsidRDefault="00000000">
            <w:pPr>
              <w:jc w:val="center"/>
            </w:pPr>
            <w:r>
              <w:rPr>
                <w:sz w:val="15"/>
              </w:rPr>
              <w:t>−.30***</w:t>
            </w:r>
          </w:p>
        </w:tc>
        <w:tc>
          <w:tcPr>
            <w:tcW w:w="737" w:type="dxa"/>
            <w:vAlign w:val="center"/>
          </w:tcPr>
          <w:p w14:paraId="089E5C41" w14:textId="77777777" w:rsidR="00EE4EDB" w:rsidRDefault="00000000">
            <w:pPr>
              <w:jc w:val="center"/>
            </w:pPr>
            <w:r>
              <w:rPr>
                <w:sz w:val="15"/>
              </w:rPr>
              <w:t>.03</w:t>
            </w:r>
          </w:p>
        </w:tc>
        <w:tc>
          <w:tcPr>
            <w:tcW w:w="737" w:type="dxa"/>
            <w:vAlign w:val="center"/>
          </w:tcPr>
          <w:p w14:paraId="3E45DF1D" w14:textId="77777777" w:rsidR="00EE4EDB" w:rsidRDefault="00000000">
            <w:pPr>
              <w:jc w:val="center"/>
            </w:pPr>
            <w:r>
              <w:rPr>
                <w:sz w:val="15"/>
              </w:rPr>
              <w:t>.43***</w:t>
            </w:r>
          </w:p>
        </w:tc>
        <w:tc>
          <w:tcPr>
            <w:tcW w:w="737" w:type="dxa"/>
            <w:vAlign w:val="center"/>
          </w:tcPr>
          <w:p w14:paraId="198D298A" w14:textId="77777777" w:rsidR="00EE4EDB" w:rsidRDefault="00000000">
            <w:pPr>
              <w:jc w:val="center"/>
            </w:pPr>
            <w:r>
              <w:rPr>
                <w:sz w:val="15"/>
              </w:rPr>
              <w:t>.39***</w:t>
            </w:r>
          </w:p>
        </w:tc>
        <w:tc>
          <w:tcPr>
            <w:tcW w:w="737" w:type="dxa"/>
            <w:vAlign w:val="center"/>
          </w:tcPr>
          <w:p w14:paraId="577F49FB" w14:textId="77777777" w:rsidR="00EE4EDB" w:rsidRDefault="00000000">
            <w:pPr>
              <w:jc w:val="center"/>
            </w:pPr>
            <w:r>
              <w:rPr>
                <w:sz w:val="15"/>
              </w:rPr>
              <w:t>−</w:t>
            </w:r>
          </w:p>
        </w:tc>
        <w:tc>
          <w:tcPr>
            <w:tcW w:w="737" w:type="dxa"/>
            <w:vAlign w:val="center"/>
          </w:tcPr>
          <w:p w14:paraId="4945FA86" w14:textId="77777777" w:rsidR="00EE4EDB" w:rsidRDefault="00EE4EDB">
            <w:pPr>
              <w:jc w:val="center"/>
            </w:pPr>
          </w:p>
        </w:tc>
        <w:tc>
          <w:tcPr>
            <w:tcW w:w="737" w:type="dxa"/>
            <w:vAlign w:val="center"/>
          </w:tcPr>
          <w:p w14:paraId="1CA8C671" w14:textId="77777777" w:rsidR="00EE4EDB" w:rsidRDefault="00EE4EDB">
            <w:pPr>
              <w:jc w:val="center"/>
            </w:pPr>
          </w:p>
        </w:tc>
        <w:tc>
          <w:tcPr>
            <w:tcW w:w="737" w:type="dxa"/>
            <w:vAlign w:val="center"/>
          </w:tcPr>
          <w:p w14:paraId="11D195C6" w14:textId="77777777" w:rsidR="00EE4EDB" w:rsidRDefault="00EE4EDB">
            <w:pPr>
              <w:jc w:val="center"/>
            </w:pPr>
          </w:p>
        </w:tc>
        <w:tc>
          <w:tcPr>
            <w:tcW w:w="737" w:type="dxa"/>
            <w:vAlign w:val="center"/>
          </w:tcPr>
          <w:p w14:paraId="306B93AA" w14:textId="77777777" w:rsidR="00EE4EDB" w:rsidRDefault="00EE4EDB">
            <w:pPr>
              <w:jc w:val="center"/>
            </w:pPr>
          </w:p>
        </w:tc>
        <w:tc>
          <w:tcPr>
            <w:tcW w:w="737" w:type="dxa"/>
            <w:vAlign w:val="center"/>
          </w:tcPr>
          <w:p w14:paraId="2A0CA638" w14:textId="77777777" w:rsidR="00EE4EDB" w:rsidRDefault="00EE4EDB">
            <w:pPr>
              <w:jc w:val="center"/>
            </w:pPr>
          </w:p>
        </w:tc>
      </w:tr>
      <w:tr w:rsidR="00EE4EDB" w14:paraId="55C4D83E" w14:textId="77777777">
        <w:trPr>
          <w:jc w:val="center"/>
        </w:trPr>
        <w:tc>
          <w:tcPr>
            <w:tcW w:w="2835" w:type="dxa"/>
            <w:vAlign w:val="center"/>
          </w:tcPr>
          <w:p w14:paraId="49EC81BE" w14:textId="77777777" w:rsidR="00EE4EDB" w:rsidRDefault="00000000">
            <w:r>
              <w:rPr>
                <w:sz w:val="15"/>
              </w:rPr>
              <w:t>6. Awareness</w:t>
            </w:r>
          </w:p>
        </w:tc>
        <w:tc>
          <w:tcPr>
            <w:tcW w:w="737" w:type="dxa"/>
            <w:vAlign w:val="center"/>
          </w:tcPr>
          <w:p w14:paraId="113A3170" w14:textId="77777777" w:rsidR="00EE4EDB" w:rsidRDefault="00000000">
            <w:pPr>
              <w:jc w:val="center"/>
            </w:pPr>
            <w:r>
              <w:rPr>
                <w:sz w:val="15"/>
              </w:rPr>
              <w:t>−.02</w:t>
            </w:r>
          </w:p>
        </w:tc>
        <w:tc>
          <w:tcPr>
            <w:tcW w:w="737" w:type="dxa"/>
            <w:vAlign w:val="center"/>
          </w:tcPr>
          <w:p w14:paraId="0087603F" w14:textId="77777777" w:rsidR="00EE4EDB" w:rsidRDefault="00000000">
            <w:pPr>
              <w:jc w:val="center"/>
            </w:pPr>
            <w:r>
              <w:rPr>
                <w:sz w:val="15"/>
              </w:rPr>
              <w:t>.07</w:t>
            </w:r>
          </w:p>
        </w:tc>
        <w:tc>
          <w:tcPr>
            <w:tcW w:w="737" w:type="dxa"/>
            <w:vAlign w:val="center"/>
          </w:tcPr>
          <w:p w14:paraId="6483FA18" w14:textId="77777777" w:rsidR="00EE4EDB" w:rsidRDefault="00000000">
            <w:pPr>
              <w:jc w:val="center"/>
            </w:pPr>
            <w:r>
              <w:rPr>
                <w:sz w:val="15"/>
              </w:rPr>
              <w:t>.11**</w:t>
            </w:r>
          </w:p>
        </w:tc>
        <w:tc>
          <w:tcPr>
            <w:tcW w:w="737" w:type="dxa"/>
            <w:vAlign w:val="center"/>
          </w:tcPr>
          <w:p w14:paraId="361E672D" w14:textId="77777777" w:rsidR="00EE4EDB" w:rsidRDefault="00000000">
            <w:pPr>
              <w:jc w:val="center"/>
            </w:pPr>
            <w:r>
              <w:rPr>
                <w:sz w:val="15"/>
              </w:rPr>
              <w:t>.12***</w:t>
            </w:r>
          </w:p>
        </w:tc>
        <w:tc>
          <w:tcPr>
            <w:tcW w:w="737" w:type="dxa"/>
            <w:vAlign w:val="center"/>
          </w:tcPr>
          <w:p w14:paraId="47690356" w14:textId="77777777" w:rsidR="00EE4EDB" w:rsidRDefault="00000000">
            <w:pPr>
              <w:jc w:val="center"/>
            </w:pPr>
            <w:r>
              <w:rPr>
                <w:sz w:val="15"/>
              </w:rPr>
              <w:t>.40***</w:t>
            </w:r>
          </w:p>
        </w:tc>
        <w:tc>
          <w:tcPr>
            <w:tcW w:w="737" w:type="dxa"/>
            <w:vAlign w:val="center"/>
          </w:tcPr>
          <w:p w14:paraId="22B1D9DA" w14:textId="77777777" w:rsidR="00EE4EDB" w:rsidRDefault="00000000">
            <w:pPr>
              <w:jc w:val="center"/>
            </w:pPr>
            <w:r>
              <w:rPr>
                <w:sz w:val="15"/>
              </w:rPr>
              <w:t>−</w:t>
            </w:r>
          </w:p>
        </w:tc>
        <w:tc>
          <w:tcPr>
            <w:tcW w:w="737" w:type="dxa"/>
            <w:vAlign w:val="center"/>
          </w:tcPr>
          <w:p w14:paraId="1BFF5158" w14:textId="77777777" w:rsidR="00EE4EDB" w:rsidRDefault="00EE4EDB">
            <w:pPr>
              <w:jc w:val="center"/>
            </w:pPr>
          </w:p>
        </w:tc>
        <w:tc>
          <w:tcPr>
            <w:tcW w:w="737" w:type="dxa"/>
            <w:vAlign w:val="center"/>
          </w:tcPr>
          <w:p w14:paraId="2CE06BF2" w14:textId="77777777" w:rsidR="00EE4EDB" w:rsidRDefault="00EE4EDB">
            <w:pPr>
              <w:jc w:val="center"/>
            </w:pPr>
          </w:p>
        </w:tc>
        <w:tc>
          <w:tcPr>
            <w:tcW w:w="737" w:type="dxa"/>
            <w:vAlign w:val="center"/>
          </w:tcPr>
          <w:p w14:paraId="3899E7A0" w14:textId="77777777" w:rsidR="00EE4EDB" w:rsidRDefault="00EE4EDB">
            <w:pPr>
              <w:jc w:val="center"/>
            </w:pPr>
          </w:p>
        </w:tc>
        <w:tc>
          <w:tcPr>
            <w:tcW w:w="737" w:type="dxa"/>
            <w:vAlign w:val="center"/>
          </w:tcPr>
          <w:p w14:paraId="0357AE42" w14:textId="77777777" w:rsidR="00EE4EDB" w:rsidRDefault="00EE4EDB">
            <w:pPr>
              <w:jc w:val="center"/>
            </w:pPr>
          </w:p>
        </w:tc>
      </w:tr>
      <w:tr w:rsidR="00EE4EDB" w14:paraId="3E1ADA11" w14:textId="77777777">
        <w:trPr>
          <w:jc w:val="center"/>
        </w:trPr>
        <w:tc>
          <w:tcPr>
            <w:tcW w:w="2835" w:type="dxa"/>
            <w:vAlign w:val="center"/>
          </w:tcPr>
          <w:p w14:paraId="7BA89A30" w14:textId="77777777" w:rsidR="00EE4EDB" w:rsidRDefault="00000000">
            <w:r>
              <w:rPr>
                <w:sz w:val="15"/>
              </w:rPr>
              <w:t>7. Clarity</w:t>
            </w:r>
          </w:p>
        </w:tc>
        <w:tc>
          <w:tcPr>
            <w:tcW w:w="737" w:type="dxa"/>
            <w:vAlign w:val="center"/>
          </w:tcPr>
          <w:p w14:paraId="0E301136" w14:textId="77777777" w:rsidR="00EE4EDB" w:rsidRDefault="00000000">
            <w:pPr>
              <w:jc w:val="center"/>
            </w:pPr>
            <w:r>
              <w:rPr>
                <w:sz w:val="15"/>
              </w:rPr>
              <w:t>−.27***</w:t>
            </w:r>
          </w:p>
        </w:tc>
        <w:tc>
          <w:tcPr>
            <w:tcW w:w="737" w:type="dxa"/>
            <w:vAlign w:val="center"/>
          </w:tcPr>
          <w:p w14:paraId="6510FC23" w14:textId="77777777" w:rsidR="00EE4EDB" w:rsidRDefault="00000000">
            <w:pPr>
              <w:jc w:val="center"/>
            </w:pPr>
            <w:r>
              <w:rPr>
                <w:sz w:val="15"/>
              </w:rPr>
              <w:t>−.03</w:t>
            </w:r>
          </w:p>
        </w:tc>
        <w:tc>
          <w:tcPr>
            <w:tcW w:w="737" w:type="dxa"/>
            <w:vAlign w:val="center"/>
          </w:tcPr>
          <w:p w14:paraId="57A5BB68" w14:textId="77777777" w:rsidR="00EE4EDB" w:rsidRDefault="00000000">
            <w:pPr>
              <w:jc w:val="center"/>
            </w:pPr>
            <w:r>
              <w:rPr>
                <w:sz w:val="15"/>
              </w:rPr>
              <w:t>.35***</w:t>
            </w:r>
          </w:p>
        </w:tc>
        <w:tc>
          <w:tcPr>
            <w:tcW w:w="737" w:type="dxa"/>
            <w:vAlign w:val="center"/>
          </w:tcPr>
          <w:p w14:paraId="0C1365D1" w14:textId="77777777" w:rsidR="00EE4EDB" w:rsidRDefault="00000000">
            <w:pPr>
              <w:jc w:val="center"/>
            </w:pPr>
            <w:r>
              <w:rPr>
                <w:sz w:val="15"/>
              </w:rPr>
              <w:t>.31***</w:t>
            </w:r>
          </w:p>
        </w:tc>
        <w:tc>
          <w:tcPr>
            <w:tcW w:w="737" w:type="dxa"/>
            <w:vAlign w:val="center"/>
          </w:tcPr>
          <w:p w14:paraId="5F35BF04" w14:textId="77777777" w:rsidR="00EE4EDB" w:rsidRDefault="00000000">
            <w:pPr>
              <w:jc w:val="center"/>
            </w:pPr>
            <w:r>
              <w:rPr>
                <w:sz w:val="15"/>
              </w:rPr>
              <w:t>.73***</w:t>
            </w:r>
          </w:p>
        </w:tc>
        <w:tc>
          <w:tcPr>
            <w:tcW w:w="737" w:type="dxa"/>
            <w:vAlign w:val="center"/>
          </w:tcPr>
          <w:p w14:paraId="2BEDF038" w14:textId="77777777" w:rsidR="00EE4EDB" w:rsidRDefault="00000000">
            <w:pPr>
              <w:jc w:val="center"/>
            </w:pPr>
            <w:r>
              <w:rPr>
                <w:sz w:val="15"/>
              </w:rPr>
              <w:t>.30***</w:t>
            </w:r>
          </w:p>
        </w:tc>
        <w:tc>
          <w:tcPr>
            <w:tcW w:w="737" w:type="dxa"/>
            <w:vAlign w:val="center"/>
          </w:tcPr>
          <w:p w14:paraId="6225602B" w14:textId="77777777" w:rsidR="00EE4EDB" w:rsidRDefault="00000000">
            <w:pPr>
              <w:jc w:val="center"/>
            </w:pPr>
            <w:r>
              <w:rPr>
                <w:sz w:val="15"/>
              </w:rPr>
              <w:t>−</w:t>
            </w:r>
          </w:p>
        </w:tc>
        <w:tc>
          <w:tcPr>
            <w:tcW w:w="737" w:type="dxa"/>
            <w:vAlign w:val="center"/>
          </w:tcPr>
          <w:p w14:paraId="4EE74AEE" w14:textId="77777777" w:rsidR="00EE4EDB" w:rsidRDefault="00EE4EDB">
            <w:pPr>
              <w:jc w:val="center"/>
            </w:pPr>
          </w:p>
        </w:tc>
        <w:tc>
          <w:tcPr>
            <w:tcW w:w="737" w:type="dxa"/>
            <w:vAlign w:val="center"/>
          </w:tcPr>
          <w:p w14:paraId="1A32693A" w14:textId="77777777" w:rsidR="00EE4EDB" w:rsidRDefault="00EE4EDB">
            <w:pPr>
              <w:jc w:val="center"/>
            </w:pPr>
          </w:p>
        </w:tc>
        <w:tc>
          <w:tcPr>
            <w:tcW w:w="737" w:type="dxa"/>
            <w:vAlign w:val="center"/>
          </w:tcPr>
          <w:p w14:paraId="1AFB849A" w14:textId="77777777" w:rsidR="00EE4EDB" w:rsidRDefault="00EE4EDB">
            <w:pPr>
              <w:jc w:val="center"/>
            </w:pPr>
          </w:p>
        </w:tc>
      </w:tr>
      <w:tr w:rsidR="00EE4EDB" w14:paraId="637F8CB1" w14:textId="77777777">
        <w:trPr>
          <w:jc w:val="center"/>
        </w:trPr>
        <w:tc>
          <w:tcPr>
            <w:tcW w:w="2835" w:type="dxa"/>
            <w:vAlign w:val="center"/>
          </w:tcPr>
          <w:p w14:paraId="272C9B04" w14:textId="77777777" w:rsidR="00EE4EDB" w:rsidRDefault="00000000">
            <w:r>
              <w:rPr>
                <w:sz w:val="15"/>
              </w:rPr>
              <w:t>8. Goals</w:t>
            </w:r>
          </w:p>
        </w:tc>
        <w:tc>
          <w:tcPr>
            <w:tcW w:w="737" w:type="dxa"/>
            <w:vAlign w:val="center"/>
          </w:tcPr>
          <w:p w14:paraId="75439DF3" w14:textId="77777777" w:rsidR="00EE4EDB" w:rsidRDefault="00000000">
            <w:pPr>
              <w:jc w:val="center"/>
            </w:pPr>
            <w:r>
              <w:rPr>
                <w:sz w:val="15"/>
              </w:rPr>
              <w:t>−.27***</w:t>
            </w:r>
          </w:p>
        </w:tc>
        <w:tc>
          <w:tcPr>
            <w:tcW w:w="737" w:type="dxa"/>
            <w:vAlign w:val="center"/>
          </w:tcPr>
          <w:p w14:paraId="3E0F67A4" w14:textId="77777777" w:rsidR="00EE4EDB" w:rsidRDefault="00000000">
            <w:pPr>
              <w:jc w:val="center"/>
            </w:pPr>
            <w:r>
              <w:rPr>
                <w:sz w:val="15"/>
              </w:rPr>
              <w:t>.00</w:t>
            </w:r>
          </w:p>
        </w:tc>
        <w:tc>
          <w:tcPr>
            <w:tcW w:w="737" w:type="dxa"/>
            <w:vAlign w:val="center"/>
          </w:tcPr>
          <w:p w14:paraId="7007DBDC" w14:textId="77777777" w:rsidR="00EE4EDB" w:rsidRDefault="00000000">
            <w:pPr>
              <w:jc w:val="center"/>
            </w:pPr>
            <w:r>
              <w:rPr>
                <w:sz w:val="15"/>
              </w:rPr>
              <w:t>.34***</w:t>
            </w:r>
          </w:p>
        </w:tc>
        <w:tc>
          <w:tcPr>
            <w:tcW w:w="737" w:type="dxa"/>
            <w:vAlign w:val="center"/>
          </w:tcPr>
          <w:p w14:paraId="788A8C97" w14:textId="77777777" w:rsidR="00EE4EDB" w:rsidRDefault="00000000">
            <w:pPr>
              <w:jc w:val="center"/>
            </w:pPr>
            <w:r>
              <w:rPr>
                <w:sz w:val="15"/>
              </w:rPr>
              <w:t>.30***</w:t>
            </w:r>
          </w:p>
        </w:tc>
        <w:tc>
          <w:tcPr>
            <w:tcW w:w="737" w:type="dxa"/>
            <w:vAlign w:val="center"/>
          </w:tcPr>
          <w:p w14:paraId="76407EDA" w14:textId="77777777" w:rsidR="00EE4EDB" w:rsidRDefault="00000000">
            <w:pPr>
              <w:jc w:val="center"/>
            </w:pPr>
            <w:r>
              <w:rPr>
                <w:sz w:val="15"/>
              </w:rPr>
              <w:t>.76***</w:t>
            </w:r>
          </w:p>
        </w:tc>
        <w:tc>
          <w:tcPr>
            <w:tcW w:w="737" w:type="dxa"/>
            <w:vAlign w:val="center"/>
          </w:tcPr>
          <w:p w14:paraId="234F7718" w14:textId="77777777" w:rsidR="00EE4EDB" w:rsidRDefault="00000000">
            <w:pPr>
              <w:jc w:val="center"/>
            </w:pPr>
            <w:r>
              <w:rPr>
                <w:sz w:val="15"/>
              </w:rPr>
              <w:t>.05</w:t>
            </w:r>
          </w:p>
        </w:tc>
        <w:tc>
          <w:tcPr>
            <w:tcW w:w="737" w:type="dxa"/>
            <w:vAlign w:val="center"/>
          </w:tcPr>
          <w:p w14:paraId="3A989DF9" w14:textId="77777777" w:rsidR="00EE4EDB" w:rsidRDefault="00000000">
            <w:pPr>
              <w:jc w:val="center"/>
            </w:pPr>
            <w:r>
              <w:rPr>
                <w:sz w:val="15"/>
              </w:rPr>
              <w:t>.41***</w:t>
            </w:r>
          </w:p>
        </w:tc>
        <w:tc>
          <w:tcPr>
            <w:tcW w:w="737" w:type="dxa"/>
            <w:vAlign w:val="center"/>
          </w:tcPr>
          <w:p w14:paraId="0BF13386" w14:textId="77777777" w:rsidR="00EE4EDB" w:rsidRDefault="00000000">
            <w:pPr>
              <w:jc w:val="center"/>
            </w:pPr>
            <w:r>
              <w:rPr>
                <w:sz w:val="15"/>
              </w:rPr>
              <w:t>−</w:t>
            </w:r>
          </w:p>
        </w:tc>
        <w:tc>
          <w:tcPr>
            <w:tcW w:w="737" w:type="dxa"/>
            <w:vAlign w:val="center"/>
          </w:tcPr>
          <w:p w14:paraId="3F525BE5" w14:textId="77777777" w:rsidR="00EE4EDB" w:rsidRDefault="00EE4EDB">
            <w:pPr>
              <w:jc w:val="center"/>
            </w:pPr>
          </w:p>
        </w:tc>
        <w:tc>
          <w:tcPr>
            <w:tcW w:w="737" w:type="dxa"/>
            <w:vAlign w:val="center"/>
          </w:tcPr>
          <w:p w14:paraId="559C2D37" w14:textId="77777777" w:rsidR="00EE4EDB" w:rsidRDefault="00EE4EDB">
            <w:pPr>
              <w:jc w:val="center"/>
            </w:pPr>
          </w:p>
        </w:tc>
      </w:tr>
      <w:tr w:rsidR="00EE4EDB" w14:paraId="75C03EB0" w14:textId="77777777">
        <w:trPr>
          <w:jc w:val="center"/>
        </w:trPr>
        <w:tc>
          <w:tcPr>
            <w:tcW w:w="2835" w:type="dxa"/>
            <w:vAlign w:val="center"/>
          </w:tcPr>
          <w:p w14:paraId="2F4549DA" w14:textId="77777777" w:rsidR="00EE4EDB" w:rsidRDefault="00000000">
            <w:r>
              <w:rPr>
                <w:sz w:val="15"/>
              </w:rPr>
              <w:t>9. Impulse</w:t>
            </w:r>
          </w:p>
        </w:tc>
        <w:tc>
          <w:tcPr>
            <w:tcW w:w="737" w:type="dxa"/>
            <w:vAlign w:val="center"/>
          </w:tcPr>
          <w:p w14:paraId="102F0B16" w14:textId="77777777" w:rsidR="00EE4EDB" w:rsidRDefault="00000000">
            <w:pPr>
              <w:jc w:val="center"/>
            </w:pPr>
            <w:r>
              <w:rPr>
                <w:sz w:val="15"/>
              </w:rPr>
              <w:t>−.21***</w:t>
            </w:r>
          </w:p>
        </w:tc>
        <w:tc>
          <w:tcPr>
            <w:tcW w:w="737" w:type="dxa"/>
            <w:vAlign w:val="center"/>
          </w:tcPr>
          <w:p w14:paraId="77C90B21" w14:textId="77777777" w:rsidR="00EE4EDB" w:rsidRDefault="00000000">
            <w:pPr>
              <w:jc w:val="center"/>
            </w:pPr>
            <w:r>
              <w:rPr>
                <w:sz w:val="15"/>
              </w:rPr>
              <w:t>.08*</w:t>
            </w:r>
          </w:p>
        </w:tc>
        <w:tc>
          <w:tcPr>
            <w:tcW w:w="737" w:type="dxa"/>
            <w:vAlign w:val="center"/>
          </w:tcPr>
          <w:p w14:paraId="76BCDD68" w14:textId="77777777" w:rsidR="00EE4EDB" w:rsidRDefault="00000000">
            <w:pPr>
              <w:jc w:val="center"/>
            </w:pPr>
            <w:r>
              <w:rPr>
                <w:sz w:val="15"/>
              </w:rPr>
              <w:t>.30***</w:t>
            </w:r>
          </w:p>
        </w:tc>
        <w:tc>
          <w:tcPr>
            <w:tcW w:w="737" w:type="dxa"/>
            <w:vAlign w:val="center"/>
          </w:tcPr>
          <w:p w14:paraId="4686D8B1" w14:textId="77777777" w:rsidR="00EE4EDB" w:rsidRDefault="00000000">
            <w:pPr>
              <w:jc w:val="center"/>
            </w:pPr>
            <w:r>
              <w:rPr>
                <w:sz w:val="15"/>
              </w:rPr>
              <w:t>.30***</w:t>
            </w:r>
          </w:p>
        </w:tc>
        <w:tc>
          <w:tcPr>
            <w:tcW w:w="737" w:type="dxa"/>
            <w:vAlign w:val="center"/>
          </w:tcPr>
          <w:p w14:paraId="3E33C628" w14:textId="77777777" w:rsidR="00EE4EDB" w:rsidRDefault="00000000">
            <w:pPr>
              <w:jc w:val="center"/>
            </w:pPr>
            <w:r>
              <w:rPr>
                <w:sz w:val="15"/>
              </w:rPr>
              <w:t>.73***</w:t>
            </w:r>
          </w:p>
        </w:tc>
        <w:tc>
          <w:tcPr>
            <w:tcW w:w="737" w:type="dxa"/>
            <w:vAlign w:val="center"/>
          </w:tcPr>
          <w:p w14:paraId="6345CDC9" w14:textId="77777777" w:rsidR="00EE4EDB" w:rsidRDefault="00000000">
            <w:pPr>
              <w:jc w:val="center"/>
            </w:pPr>
            <w:r>
              <w:rPr>
                <w:sz w:val="15"/>
              </w:rPr>
              <w:t>.20***</w:t>
            </w:r>
          </w:p>
        </w:tc>
        <w:tc>
          <w:tcPr>
            <w:tcW w:w="737" w:type="dxa"/>
            <w:vAlign w:val="center"/>
          </w:tcPr>
          <w:p w14:paraId="07F48F62" w14:textId="77777777" w:rsidR="00EE4EDB" w:rsidRDefault="00000000">
            <w:pPr>
              <w:jc w:val="center"/>
            </w:pPr>
            <w:r>
              <w:rPr>
                <w:sz w:val="15"/>
              </w:rPr>
              <w:t>.41***</w:t>
            </w:r>
          </w:p>
        </w:tc>
        <w:tc>
          <w:tcPr>
            <w:tcW w:w="737" w:type="dxa"/>
            <w:vAlign w:val="center"/>
          </w:tcPr>
          <w:p w14:paraId="4C2D63A4" w14:textId="77777777" w:rsidR="00EE4EDB" w:rsidRDefault="00000000">
            <w:pPr>
              <w:jc w:val="center"/>
            </w:pPr>
            <w:r>
              <w:rPr>
                <w:sz w:val="15"/>
              </w:rPr>
              <w:t>.55***</w:t>
            </w:r>
          </w:p>
        </w:tc>
        <w:tc>
          <w:tcPr>
            <w:tcW w:w="737" w:type="dxa"/>
            <w:vAlign w:val="center"/>
          </w:tcPr>
          <w:p w14:paraId="04545789" w14:textId="77777777" w:rsidR="00EE4EDB" w:rsidRDefault="00000000">
            <w:pPr>
              <w:jc w:val="center"/>
            </w:pPr>
            <w:r>
              <w:rPr>
                <w:sz w:val="15"/>
              </w:rPr>
              <w:t>−</w:t>
            </w:r>
          </w:p>
        </w:tc>
        <w:tc>
          <w:tcPr>
            <w:tcW w:w="737" w:type="dxa"/>
            <w:vAlign w:val="center"/>
          </w:tcPr>
          <w:p w14:paraId="32AEC4CA" w14:textId="77777777" w:rsidR="00EE4EDB" w:rsidRDefault="00EE4EDB">
            <w:pPr>
              <w:jc w:val="center"/>
            </w:pPr>
          </w:p>
        </w:tc>
      </w:tr>
      <w:tr w:rsidR="00EE4EDB" w14:paraId="7071308D" w14:textId="77777777">
        <w:trPr>
          <w:jc w:val="center"/>
        </w:trPr>
        <w:tc>
          <w:tcPr>
            <w:tcW w:w="2835" w:type="dxa"/>
            <w:vAlign w:val="center"/>
          </w:tcPr>
          <w:p w14:paraId="6B31E6D0" w14:textId="77777777" w:rsidR="00EE4EDB" w:rsidRDefault="00000000">
            <w:r>
              <w:rPr>
                <w:sz w:val="15"/>
              </w:rPr>
              <w:t>10. Acceptance</w:t>
            </w:r>
          </w:p>
        </w:tc>
        <w:tc>
          <w:tcPr>
            <w:tcW w:w="737" w:type="dxa"/>
            <w:vAlign w:val="center"/>
          </w:tcPr>
          <w:p w14:paraId="7470A395" w14:textId="77777777" w:rsidR="00EE4EDB" w:rsidRDefault="00000000">
            <w:pPr>
              <w:jc w:val="center"/>
            </w:pPr>
            <w:r>
              <w:rPr>
                <w:sz w:val="15"/>
              </w:rPr>
              <w:t>−.19***</w:t>
            </w:r>
          </w:p>
        </w:tc>
        <w:tc>
          <w:tcPr>
            <w:tcW w:w="737" w:type="dxa"/>
            <w:vAlign w:val="center"/>
          </w:tcPr>
          <w:p w14:paraId="20408C3C" w14:textId="77777777" w:rsidR="00EE4EDB" w:rsidRDefault="00000000">
            <w:pPr>
              <w:jc w:val="center"/>
            </w:pPr>
            <w:r>
              <w:rPr>
                <w:sz w:val="15"/>
              </w:rPr>
              <w:t>−.03</w:t>
            </w:r>
          </w:p>
        </w:tc>
        <w:tc>
          <w:tcPr>
            <w:tcW w:w="737" w:type="dxa"/>
            <w:vAlign w:val="center"/>
          </w:tcPr>
          <w:p w14:paraId="67508C12" w14:textId="77777777" w:rsidR="00EE4EDB" w:rsidRDefault="00000000">
            <w:pPr>
              <w:jc w:val="center"/>
            </w:pPr>
            <w:r>
              <w:rPr>
                <w:sz w:val="15"/>
              </w:rPr>
              <w:t>.29***</w:t>
            </w:r>
          </w:p>
        </w:tc>
        <w:tc>
          <w:tcPr>
            <w:tcW w:w="737" w:type="dxa"/>
            <w:vAlign w:val="center"/>
          </w:tcPr>
          <w:p w14:paraId="181A8A2C" w14:textId="77777777" w:rsidR="00EE4EDB" w:rsidRDefault="00000000">
            <w:pPr>
              <w:jc w:val="center"/>
            </w:pPr>
            <w:r>
              <w:rPr>
                <w:sz w:val="15"/>
              </w:rPr>
              <w:t>.25***</w:t>
            </w:r>
          </w:p>
        </w:tc>
        <w:tc>
          <w:tcPr>
            <w:tcW w:w="737" w:type="dxa"/>
            <w:vAlign w:val="center"/>
          </w:tcPr>
          <w:p w14:paraId="4D338895" w14:textId="77777777" w:rsidR="00EE4EDB" w:rsidRDefault="00000000">
            <w:pPr>
              <w:jc w:val="center"/>
            </w:pPr>
            <w:r>
              <w:rPr>
                <w:sz w:val="15"/>
              </w:rPr>
              <w:t>.70***</w:t>
            </w:r>
          </w:p>
        </w:tc>
        <w:tc>
          <w:tcPr>
            <w:tcW w:w="737" w:type="dxa"/>
            <w:vAlign w:val="center"/>
          </w:tcPr>
          <w:p w14:paraId="4D0BAAB9" w14:textId="77777777" w:rsidR="00EE4EDB" w:rsidRDefault="00000000">
            <w:pPr>
              <w:jc w:val="center"/>
            </w:pPr>
            <w:r>
              <w:rPr>
                <w:sz w:val="15"/>
              </w:rPr>
              <w:t>.15***</w:t>
            </w:r>
          </w:p>
        </w:tc>
        <w:tc>
          <w:tcPr>
            <w:tcW w:w="737" w:type="dxa"/>
            <w:vAlign w:val="center"/>
          </w:tcPr>
          <w:p w14:paraId="53A158F1" w14:textId="77777777" w:rsidR="00EE4EDB" w:rsidRDefault="00000000">
            <w:pPr>
              <w:jc w:val="center"/>
            </w:pPr>
            <w:r>
              <w:rPr>
                <w:sz w:val="15"/>
              </w:rPr>
              <w:t>.40***</w:t>
            </w:r>
          </w:p>
        </w:tc>
        <w:tc>
          <w:tcPr>
            <w:tcW w:w="737" w:type="dxa"/>
            <w:vAlign w:val="center"/>
          </w:tcPr>
          <w:p w14:paraId="6FDDF84E" w14:textId="77777777" w:rsidR="00EE4EDB" w:rsidRDefault="00000000">
            <w:pPr>
              <w:jc w:val="center"/>
            </w:pPr>
            <w:r>
              <w:rPr>
                <w:sz w:val="15"/>
              </w:rPr>
              <w:t>.46***</w:t>
            </w:r>
          </w:p>
        </w:tc>
        <w:tc>
          <w:tcPr>
            <w:tcW w:w="737" w:type="dxa"/>
            <w:vAlign w:val="center"/>
          </w:tcPr>
          <w:p w14:paraId="318BB19D" w14:textId="77777777" w:rsidR="00EE4EDB" w:rsidRDefault="00000000">
            <w:pPr>
              <w:jc w:val="center"/>
            </w:pPr>
            <w:r>
              <w:rPr>
                <w:sz w:val="15"/>
              </w:rPr>
              <w:t>.37***</w:t>
            </w:r>
          </w:p>
        </w:tc>
        <w:tc>
          <w:tcPr>
            <w:tcW w:w="737" w:type="dxa"/>
            <w:vAlign w:val="center"/>
          </w:tcPr>
          <w:p w14:paraId="57298F74" w14:textId="77777777" w:rsidR="00EE4EDB" w:rsidRDefault="00000000">
            <w:pPr>
              <w:jc w:val="center"/>
            </w:pPr>
            <w:r>
              <w:rPr>
                <w:sz w:val="15"/>
              </w:rPr>
              <w:t>−</w:t>
            </w:r>
          </w:p>
        </w:tc>
      </w:tr>
      <w:tr w:rsidR="00EE4EDB" w14:paraId="4691AB63" w14:textId="77777777">
        <w:trPr>
          <w:jc w:val="center"/>
        </w:trPr>
        <w:tc>
          <w:tcPr>
            <w:tcW w:w="2835" w:type="dxa"/>
            <w:vAlign w:val="center"/>
          </w:tcPr>
          <w:p w14:paraId="41608224" w14:textId="77777777" w:rsidR="00EE4EDB" w:rsidRDefault="00000000">
            <w:r>
              <w:rPr>
                <w:sz w:val="15"/>
              </w:rPr>
              <w:lastRenderedPageBreak/>
              <w:t>11. Strategies</w:t>
            </w:r>
          </w:p>
        </w:tc>
        <w:tc>
          <w:tcPr>
            <w:tcW w:w="737" w:type="dxa"/>
            <w:vAlign w:val="center"/>
          </w:tcPr>
          <w:p w14:paraId="2E6D6EBA" w14:textId="77777777" w:rsidR="00EE4EDB" w:rsidRDefault="00000000">
            <w:pPr>
              <w:jc w:val="center"/>
            </w:pPr>
            <w:r>
              <w:rPr>
                <w:sz w:val="15"/>
              </w:rPr>
              <w:t>−.27***</w:t>
            </w:r>
          </w:p>
        </w:tc>
        <w:tc>
          <w:tcPr>
            <w:tcW w:w="737" w:type="dxa"/>
            <w:vAlign w:val="center"/>
          </w:tcPr>
          <w:p w14:paraId="373DB2A2" w14:textId="77777777" w:rsidR="00EE4EDB" w:rsidRDefault="00000000">
            <w:pPr>
              <w:jc w:val="center"/>
            </w:pPr>
            <w:r>
              <w:rPr>
                <w:sz w:val="15"/>
              </w:rPr>
              <w:t>.06</w:t>
            </w:r>
          </w:p>
        </w:tc>
        <w:tc>
          <w:tcPr>
            <w:tcW w:w="737" w:type="dxa"/>
            <w:vAlign w:val="center"/>
          </w:tcPr>
          <w:p w14:paraId="54FABB41" w14:textId="77777777" w:rsidR="00EE4EDB" w:rsidRDefault="00000000">
            <w:pPr>
              <w:jc w:val="center"/>
            </w:pPr>
            <w:r>
              <w:rPr>
                <w:sz w:val="15"/>
              </w:rPr>
              <w:t>.40***</w:t>
            </w:r>
          </w:p>
        </w:tc>
        <w:tc>
          <w:tcPr>
            <w:tcW w:w="737" w:type="dxa"/>
            <w:vAlign w:val="center"/>
          </w:tcPr>
          <w:p w14:paraId="31EE949D" w14:textId="77777777" w:rsidR="00EE4EDB" w:rsidRDefault="00000000">
            <w:pPr>
              <w:jc w:val="center"/>
            </w:pPr>
            <w:r>
              <w:rPr>
                <w:sz w:val="15"/>
              </w:rPr>
              <w:t>.33***</w:t>
            </w:r>
          </w:p>
        </w:tc>
        <w:tc>
          <w:tcPr>
            <w:tcW w:w="737" w:type="dxa"/>
            <w:vAlign w:val="center"/>
          </w:tcPr>
          <w:p w14:paraId="28C8295F" w14:textId="77777777" w:rsidR="00EE4EDB" w:rsidRDefault="00000000">
            <w:pPr>
              <w:jc w:val="center"/>
            </w:pPr>
            <w:r>
              <w:rPr>
                <w:sz w:val="15"/>
              </w:rPr>
              <w:t>.80***</w:t>
            </w:r>
          </w:p>
        </w:tc>
        <w:tc>
          <w:tcPr>
            <w:tcW w:w="737" w:type="dxa"/>
            <w:vAlign w:val="center"/>
          </w:tcPr>
          <w:p w14:paraId="21E7EF4A" w14:textId="77777777" w:rsidR="00EE4EDB" w:rsidRDefault="00000000">
            <w:pPr>
              <w:jc w:val="center"/>
            </w:pPr>
            <w:r>
              <w:rPr>
                <w:sz w:val="15"/>
              </w:rPr>
              <w:t>.12***</w:t>
            </w:r>
          </w:p>
        </w:tc>
        <w:tc>
          <w:tcPr>
            <w:tcW w:w="737" w:type="dxa"/>
            <w:vAlign w:val="center"/>
          </w:tcPr>
          <w:p w14:paraId="59D3B230" w14:textId="77777777" w:rsidR="00EE4EDB" w:rsidRDefault="00000000">
            <w:pPr>
              <w:jc w:val="center"/>
            </w:pPr>
            <w:r>
              <w:rPr>
                <w:sz w:val="15"/>
              </w:rPr>
              <w:t>.54***</w:t>
            </w:r>
          </w:p>
        </w:tc>
        <w:tc>
          <w:tcPr>
            <w:tcW w:w="737" w:type="dxa"/>
            <w:vAlign w:val="center"/>
          </w:tcPr>
          <w:p w14:paraId="2967C025" w14:textId="77777777" w:rsidR="00EE4EDB" w:rsidRDefault="00000000">
            <w:pPr>
              <w:jc w:val="center"/>
            </w:pPr>
            <w:r>
              <w:rPr>
                <w:sz w:val="15"/>
              </w:rPr>
              <w:t>.57***</w:t>
            </w:r>
          </w:p>
        </w:tc>
        <w:tc>
          <w:tcPr>
            <w:tcW w:w="737" w:type="dxa"/>
            <w:vAlign w:val="center"/>
          </w:tcPr>
          <w:p w14:paraId="0C4303B7" w14:textId="77777777" w:rsidR="00EE4EDB" w:rsidRDefault="00000000">
            <w:pPr>
              <w:jc w:val="center"/>
            </w:pPr>
            <w:r>
              <w:rPr>
                <w:sz w:val="15"/>
              </w:rPr>
              <w:t>.52***</w:t>
            </w:r>
          </w:p>
        </w:tc>
        <w:tc>
          <w:tcPr>
            <w:tcW w:w="737" w:type="dxa"/>
            <w:vAlign w:val="center"/>
          </w:tcPr>
          <w:p w14:paraId="01F246C5" w14:textId="77777777" w:rsidR="00EE4EDB" w:rsidRDefault="00000000">
            <w:pPr>
              <w:jc w:val="center"/>
            </w:pPr>
            <w:r>
              <w:rPr>
                <w:sz w:val="15"/>
              </w:rPr>
              <w:t>.50***</w:t>
            </w:r>
          </w:p>
        </w:tc>
      </w:tr>
    </w:tbl>
    <w:p w14:paraId="5D68DB2B" w14:textId="77777777" w:rsidR="00EE4EDB" w:rsidRPr="009A5D51" w:rsidRDefault="00000000">
      <w:pPr>
        <w:spacing w:after="0" w:line="360" w:lineRule="auto"/>
        <w:jc w:val="both"/>
        <w:rPr>
          <w:lang w:val="ru-RU"/>
        </w:rPr>
      </w:pPr>
      <w:r w:rsidRPr="009A5D51">
        <w:rPr>
          <w:sz w:val="20"/>
          <w:lang w:val="ru-RU"/>
        </w:rPr>
        <w:t xml:space="preserve">Примечание. </w:t>
      </w:r>
      <w:r>
        <w:rPr>
          <w:sz w:val="20"/>
        </w:rPr>
        <w:t>WoW</w:t>
      </w:r>
      <w:r w:rsidRPr="009A5D51">
        <w:rPr>
          <w:sz w:val="20"/>
          <w:lang w:val="ru-RU"/>
        </w:rPr>
        <w:t xml:space="preserve"> - </w:t>
      </w:r>
      <w:r>
        <w:rPr>
          <w:sz w:val="20"/>
        </w:rPr>
        <w:t>World</w:t>
      </w:r>
      <w:r w:rsidRPr="009A5D51">
        <w:rPr>
          <w:sz w:val="20"/>
          <w:lang w:val="ru-RU"/>
        </w:rPr>
        <w:t xml:space="preserve"> </w:t>
      </w:r>
      <w:r>
        <w:rPr>
          <w:sz w:val="20"/>
        </w:rPr>
        <w:t>of</w:t>
      </w:r>
      <w:r w:rsidRPr="009A5D51">
        <w:rPr>
          <w:sz w:val="20"/>
          <w:lang w:val="ru-RU"/>
        </w:rPr>
        <w:t xml:space="preserve"> </w:t>
      </w:r>
      <w:r>
        <w:rPr>
          <w:sz w:val="20"/>
        </w:rPr>
        <w:t>Warcraft</w:t>
      </w:r>
      <w:r w:rsidRPr="009A5D51">
        <w:rPr>
          <w:sz w:val="20"/>
          <w:lang w:val="ru-RU"/>
        </w:rPr>
        <w:t xml:space="preserve">; </w:t>
      </w:r>
      <w:r>
        <w:rPr>
          <w:sz w:val="20"/>
        </w:rPr>
        <w:t>DERS</w:t>
      </w:r>
      <w:r w:rsidRPr="009A5D51">
        <w:rPr>
          <w:sz w:val="20"/>
          <w:lang w:val="ru-RU"/>
        </w:rPr>
        <w:t xml:space="preserve"> - Шкала трудностей регуляции эмоций; </w:t>
      </w:r>
      <w:r>
        <w:rPr>
          <w:sz w:val="20"/>
        </w:rPr>
        <w:t>IAT</w:t>
      </w:r>
      <w:r w:rsidRPr="009A5D51">
        <w:rPr>
          <w:sz w:val="20"/>
          <w:lang w:val="ru-RU"/>
        </w:rPr>
        <w:t>-</w:t>
      </w:r>
      <w:r>
        <w:rPr>
          <w:sz w:val="20"/>
        </w:rPr>
        <w:t>WOW</w:t>
      </w:r>
      <w:r w:rsidRPr="009A5D51">
        <w:rPr>
          <w:sz w:val="20"/>
          <w:lang w:val="ru-RU"/>
        </w:rPr>
        <w:t xml:space="preserve"> - Тест интернет-зависимости - версия для </w:t>
      </w:r>
      <w:r>
        <w:rPr>
          <w:sz w:val="20"/>
        </w:rPr>
        <w:t>WoW</w:t>
      </w:r>
      <w:r w:rsidRPr="009A5D51">
        <w:rPr>
          <w:sz w:val="20"/>
          <w:lang w:val="ru-RU"/>
        </w:rPr>
        <w:t>. *</w:t>
      </w:r>
      <w:r>
        <w:rPr>
          <w:sz w:val="20"/>
        </w:rPr>
        <w:t>p</w:t>
      </w:r>
      <w:r w:rsidRPr="009A5D51">
        <w:rPr>
          <w:sz w:val="20"/>
          <w:lang w:val="ru-RU"/>
        </w:rPr>
        <w:t xml:space="preserve"> &lt; .05. **</w:t>
      </w:r>
      <w:r>
        <w:rPr>
          <w:sz w:val="20"/>
        </w:rPr>
        <w:t>p</w:t>
      </w:r>
      <w:r w:rsidRPr="009A5D51">
        <w:rPr>
          <w:sz w:val="20"/>
          <w:lang w:val="ru-RU"/>
        </w:rPr>
        <w:t xml:space="preserve"> &lt; .01. ***</w:t>
      </w:r>
      <w:r>
        <w:rPr>
          <w:sz w:val="20"/>
        </w:rPr>
        <w:t>p</w:t>
      </w:r>
      <w:r w:rsidRPr="009A5D51">
        <w:rPr>
          <w:sz w:val="20"/>
          <w:lang w:val="ru-RU"/>
        </w:rPr>
        <w:t xml:space="preserve"> &lt; .001.</w:t>
      </w:r>
    </w:p>
    <w:p w14:paraId="1AACE82D" w14:textId="77777777" w:rsidR="00EE4EDB" w:rsidRPr="009A5D51" w:rsidRDefault="00000000">
      <w:pPr>
        <w:spacing w:after="0" w:line="360" w:lineRule="auto"/>
        <w:ind w:firstLine="357"/>
        <w:jc w:val="both"/>
        <w:rPr>
          <w:lang w:val="ru-RU"/>
        </w:rPr>
      </w:pPr>
      <w:r>
        <w:t>ED</w:t>
      </w:r>
      <w:r w:rsidRPr="009A5D51">
        <w:rPr>
          <w:lang w:val="ru-RU"/>
        </w:rPr>
        <w:t xml:space="preserve"> была значимо и положительно связана как с </w:t>
      </w:r>
      <w:r>
        <w:t>PG</w:t>
      </w:r>
      <w:r w:rsidRPr="009A5D51">
        <w:rPr>
          <w:lang w:val="ru-RU"/>
        </w:rPr>
        <w:t xml:space="preserve">, так и с эскапизмом; сила этих связей была умеренной. Примечательно, что количество часов игры в неделю было значимо, но слабо связано с эскапизмом и </w:t>
      </w:r>
      <w:r>
        <w:t>PG</w:t>
      </w:r>
      <w:r w:rsidRPr="009A5D51">
        <w:rPr>
          <w:lang w:val="ru-RU"/>
        </w:rPr>
        <w:t xml:space="preserve">, но не с </w:t>
      </w:r>
      <w:r>
        <w:t>ED</w:t>
      </w:r>
      <w:r w:rsidRPr="009A5D51">
        <w:rPr>
          <w:lang w:val="ru-RU"/>
        </w:rPr>
        <w:t xml:space="preserve">. Кроме того, все подшкалы </w:t>
      </w:r>
      <w:r>
        <w:t>DERS</w:t>
      </w:r>
      <w:r w:rsidRPr="009A5D51">
        <w:rPr>
          <w:lang w:val="ru-RU"/>
        </w:rPr>
        <w:t xml:space="preserve"> были значимо связаны как с </w:t>
      </w:r>
      <w:r>
        <w:t>PG</w:t>
      </w:r>
      <w:r w:rsidRPr="009A5D51">
        <w:rPr>
          <w:lang w:val="ru-RU"/>
        </w:rPr>
        <w:t xml:space="preserve">, так и с мотивами эскапизма. В частности, подшкала </w:t>
      </w:r>
      <w:r>
        <w:t>Strategies</w:t>
      </w:r>
      <w:r w:rsidRPr="009A5D51">
        <w:rPr>
          <w:lang w:val="ru-RU"/>
        </w:rPr>
        <w:t xml:space="preserve"> сильнее всего коррелировала с мотивами эскапизма (</w:t>
      </w:r>
      <w:r>
        <w:t>r</w:t>
      </w:r>
      <w:r w:rsidRPr="009A5D51">
        <w:rPr>
          <w:lang w:val="ru-RU"/>
        </w:rPr>
        <w:t xml:space="preserve"> = .40) и </w:t>
      </w:r>
      <w:r>
        <w:t>PG</w:t>
      </w:r>
      <w:r w:rsidRPr="009A5D51">
        <w:rPr>
          <w:lang w:val="ru-RU"/>
        </w:rPr>
        <w:t xml:space="preserve"> (</w:t>
      </w:r>
      <w:r>
        <w:t>r</w:t>
      </w:r>
      <w:r w:rsidRPr="009A5D51">
        <w:rPr>
          <w:lang w:val="ru-RU"/>
        </w:rPr>
        <w:t xml:space="preserve"> = .33).</w:t>
      </w:r>
    </w:p>
    <w:p w14:paraId="7653BADF" w14:textId="77777777" w:rsidR="00EE4EDB" w:rsidRPr="009A5D51" w:rsidRDefault="00000000">
      <w:pPr>
        <w:spacing w:after="0" w:line="360" w:lineRule="auto"/>
        <w:ind w:firstLine="357"/>
        <w:jc w:val="both"/>
        <w:rPr>
          <w:lang w:val="ru-RU"/>
        </w:rPr>
      </w:pPr>
      <w:r w:rsidRPr="009A5D51">
        <w:rPr>
          <w:lang w:val="ru-RU"/>
        </w:rPr>
        <w:t xml:space="preserve">После анализа интеркорреляций между переменными модель, представленная на рисунке 1, была протестирована с помощью </w:t>
      </w:r>
      <w:r>
        <w:t>SEM</w:t>
      </w:r>
      <w:r w:rsidRPr="009A5D51">
        <w:rPr>
          <w:lang w:val="ru-RU"/>
        </w:rPr>
        <w:t xml:space="preserve"> с использованием метода максимального правдоподобия. Модель дала значимое значение </w:t>
      </w:r>
      <w:r>
        <w:t>χ</w:t>
      </w:r>
      <w:r w:rsidRPr="009A5D51">
        <w:rPr>
          <w:lang w:val="ru-RU"/>
        </w:rPr>
        <w:t>2 [</w:t>
      </w:r>
      <w:r>
        <w:t>χ</w:t>
      </w:r>
      <w:r w:rsidRPr="009A5D51">
        <w:rPr>
          <w:lang w:val="ru-RU"/>
        </w:rPr>
        <w:t xml:space="preserve">2(74) = 126.16, </w:t>
      </w:r>
      <w:r>
        <w:t>p</w:t>
      </w:r>
      <w:r w:rsidRPr="009A5D51">
        <w:rPr>
          <w:lang w:val="ru-RU"/>
        </w:rPr>
        <w:t xml:space="preserve"> &lt; .001]; однако отношение </w:t>
      </w:r>
      <w:r>
        <w:t>χ</w:t>
      </w:r>
      <w:r w:rsidRPr="009A5D51">
        <w:rPr>
          <w:lang w:val="ru-RU"/>
        </w:rPr>
        <w:t>2/</w:t>
      </w:r>
      <w:r>
        <w:t>df</w:t>
      </w:r>
      <w:r w:rsidRPr="009A5D51">
        <w:rPr>
          <w:lang w:val="ru-RU"/>
        </w:rPr>
        <w:t xml:space="preserve"> составило 1.70, что указывает на хорошую подгонку. Дополнительный анализ индексов подгонки подтвердил, что медиаторная модель подгонялась очень хорошо (</w:t>
      </w:r>
      <w:r>
        <w:t>RMSEA</w:t>
      </w:r>
      <w:r w:rsidRPr="009A5D51">
        <w:rPr>
          <w:lang w:val="ru-RU"/>
        </w:rPr>
        <w:t xml:space="preserve"> = 0.043 [90% </w:t>
      </w:r>
      <w:r>
        <w:t>CI</w:t>
      </w:r>
      <w:r w:rsidRPr="009A5D51">
        <w:rPr>
          <w:lang w:val="ru-RU"/>
        </w:rPr>
        <w:t xml:space="preserve">: 0.029-0.055], </w:t>
      </w:r>
      <w:r>
        <w:t>SRMR</w:t>
      </w:r>
      <w:r w:rsidRPr="009A5D51">
        <w:rPr>
          <w:lang w:val="ru-RU"/>
        </w:rPr>
        <w:t xml:space="preserve"> = 0.038, </w:t>
      </w:r>
      <w:r>
        <w:t>NNFI</w:t>
      </w:r>
      <w:r w:rsidRPr="009A5D51">
        <w:rPr>
          <w:lang w:val="ru-RU"/>
        </w:rPr>
        <w:t xml:space="preserve"> = 0.96, </w:t>
      </w:r>
      <w:r>
        <w:t>CFI</w:t>
      </w:r>
      <w:r w:rsidRPr="009A5D51">
        <w:rPr>
          <w:lang w:val="ru-RU"/>
        </w:rPr>
        <w:t xml:space="preserve"> = 0.97). Все оценки, интерсепты и дисперсии в этой модели были значимы на уровне </w:t>
      </w:r>
      <w:r>
        <w:t>p</w:t>
      </w:r>
      <w:r w:rsidRPr="009A5D51">
        <w:rPr>
          <w:lang w:val="ru-RU"/>
        </w:rPr>
        <w:t xml:space="preserve"> &lt; .01. Медиаторная модель объясняла 31% дисперсии эскапизма и 53% дисперсии </w:t>
      </w:r>
      <w:r>
        <w:t>PG</w:t>
      </w:r>
      <w:r w:rsidRPr="009A5D51">
        <w:rPr>
          <w:lang w:val="ru-RU"/>
        </w:rPr>
        <w:t>.</w:t>
      </w:r>
    </w:p>
    <w:p w14:paraId="0534E384" w14:textId="77777777" w:rsidR="00EE4EDB" w:rsidRPr="009A5D51" w:rsidRDefault="00000000">
      <w:pPr>
        <w:spacing w:after="0" w:line="360" w:lineRule="auto"/>
        <w:ind w:firstLine="357"/>
        <w:jc w:val="both"/>
        <w:rPr>
          <w:lang w:val="ru-RU"/>
        </w:rPr>
      </w:pPr>
      <w:r w:rsidRPr="009A5D51">
        <w:rPr>
          <w:lang w:val="ru-RU"/>
        </w:rPr>
        <w:t xml:space="preserve">Немедиаторная модель, в которой </w:t>
      </w:r>
      <w:r>
        <w:t>ED</w:t>
      </w:r>
      <w:r w:rsidRPr="009A5D51">
        <w:rPr>
          <w:lang w:val="ru-RU"/>
        </w:rPr>
        <w:t xml:space="preserve"> предсказывала и эскапизм, и </w:t>
      </w:r>
      <w:r>
        <w:t>PG</w:t>
      </w:r>
      <w:r w:rsidRPr="009A5D51">
        <w:rPr>
          <w:lang w:val="ru-RU"/>
        </w:rPr>
        <w:t xml:space="preserve"> без связи между двумя последними переменными, продемонстрировала лишь приемлемые индексы подгонки (</w:t>
      </w:r>
      <w:r>
        <w:t>RMSEA</w:t>
      </w:r>
      <w:r w:rsidRPr="009A5D51">
        <w:rPr>
          <w:lang w:val="ru-RU"/>
        </w:rPr>
        <w:t xml:space="preserve"> = 0.055 [90% </w:t>
      </w:r>
      <w:r>
        <w:t>CI</w:t>
      </w:r>
      <w:r w:rsidRPr="009A5D51">
        <w:rPr>
          <w:lang w:val="ru-RU"/>
        </w:rPr>
        <w:t xml:space="preserve">: 0.044-0.067], </w:t>
      </w:r>
      <w:r>
        <w:t>SRMR</w:t>
      </w:r>
      <w:r w:rsidRPr="009A5D51">
        <w:rPr>
          <w:lang w:val="ru-RU"/>
        </w:rPr>
        <w:t xml:space="preserve"> = 0.060, </w:t>
      </w:r>
      <w:r>
        <w:t>NNFI</w:t>
      </w:r>
      <w:r w:rsidRPr="009A5D51">
        <w:rPr>
          <w:lang w:val="ru-RU"/>
        </w:rPr>
        <w:t xml:space="preserve"> = 0.96, </w:t>
      </w:r>
      <w:r>
        <w:t>CFI</w:t>
      </w:r>
      <w:r w:rsidRPr="009A5D51">
        <w:rPr>
          <w:lang w:val="ru-RU"/>
        </w:rPr>
        <w:t xml:space="preserve"> = 0.93) и объясняла 37% дисперсии эскапизма, но только 36% дисперсии </w:t>
      </w:r>
      <w:r>
        <w:t>PG</w:t>
      </w:r>
      <w:r w:rsidRPr="009A5D51">
        <w:rPr>
          <w:lang w:val="ru-RU"/>
        </w:rPr>
        <w:t xml:space="preserve">. Как и ожидалось, медиаторная модель превосходила немедиаторную модель, в которой эскапизм не опосредовал предиктивную связь между </w:t>
      </w:r>
      <w:r>
        <w:t>ED</w:t>
      </w:r>
      <w:r w:rsidRPr="009A5D51">
        <w:rPr>
          <w:lang w:val="ru-RU"/>
        </w:rPr>
        <w:t xml:space="preserve"> и </w:t>
      </w:r>
      <w:r>
        <w:t>PG</w:t>
      </w:r>
      <w:r w:rsidRPr="009A5D51">
        <w:rPr>
          <w:lang w:val="ru-RU"/>
        </w:rPr>
        <w:t xml:space="preserve"> [</w:t>
      </w:r>
      <w:r>
        <w:t>Δχ</w:t>
      </w:r>
      <w:r w:rsidRPr="009A5D51">
        <w:rPr>
          <w:lang w:val="ru-RU"/>
        </w:rPr>
        <w:t xml:space="preserve">2(1) = 38.89, </w:t>
      </w:r>
      <w:r>
        <w:t>p</w:t>
      </w:r>
      <w:r w:rsidRPr="009A5D51">
        <w:rPr>
          <w:lang w:val="ru-RU"/>
        </w:rPr>
        <w:t xml:space="preserve"> &lt; .001]. Примечательно, что эффект </w:t>
      </w:r>
      <w:r>
        <w:t>ED</w:t>
      </w:r>
      <w:r w:rsidRPr="009A5D51">
        <w:rPr>
          <w:lang w:val="ru-RU"/>
        </w:rPr>
        <w:t xml:space="preserve"> на </w:t>
      </w:r>
      <w:r>
        <w:t>PG</w:t>
      </w:r>
      <w:r w:rsidRPr="009A5D51">
        <w:rPr>
          <w:lang w:val="ru-RU"/>
        </w:rPr>
        <w:t xml:space="preserve"> уменьшался со стандартизованной оценки 0.55 (</w:t>
      </w:r>
      <w:r>
        <w:t>p</w:t>
      </w:r>
      <w:r w:rsidRPr="009A5D51">
        <w:rPr>
          <w:lang w:val="ru-RU"/>
        </w:rPr>
        <w:t xml:space="preserve"> &lt; .001) в немедиаторной модели до 0.26 (</w:t>
      </w:r>
      <w:r>
        <w:t>p</w:t>
      </w:r>
      <w:r w:rsidRPr="009A5D51">
        <w:rPr>
          <w:lang w:val="ru-RU"/>
        </w:rPr>
        <w:t xml:space="preserve"> = .008), что свидетельствует о частичном опосредовании связи между </w:t>
      </w:r>
      <w:r>
        <w:t>ED</w:t>
      </w:r>
      <w:r w:rsidRPr="009A5D51">
        <w:rPr>
          <w:lang w:val="ru-RU"/>
        </w:rPr>
        <w:t xml:space="preserve"> и </w:t>
      </w:r>
      <w:r>
        <w:t>PG</w:t>
      </w:r>
      <w:r w:rsidRPr="009A5D51">
        <w:rPr>
          <w:lang w:val="ru-RU"/>
        </w:rPr>
        <w:t xml:space="preserve"> со стороны эскапизма. Стандартизованный общий эффект модели составил 0.51 (</w:t>
      </w:r>
      <w:r>
        <w:t>p</w:t>
      </w:r>
      <w:r w:rsidRPr="009A5D51">
        <w:rPr>
          <w:lang w:val="ru-RU"/>
        </w:rPr>
        <w:t xml:space="preserve"> &lt; .001); стандартизованный косвенный эффект </w:t>
      </w:r>
      <w:r>
        <w:t>ED</w:t>
      </w:r>
      <w:r w:rsidRPr="009A5D51">
        <w:rPr>
          <w:lang w:val="ru-RU"/>
        </w:rPr>
        <w:t xml:space="preserve"> на </w:t>
      </w:r>
      <w:r>
        <w:t>PG</w:t>
      </w:r>
      <w:r w:rsidRPr="009A5D51">
        <w:rPr>
          <w:lang w:val="ru-RU"/>
        </w:rPr>
        <w:t xml:space="preserve"> через эскапизм составил 0.26 (</w:t>
      </w:r>
      <w:r>
        <w:t>p</w:t>
      </w:r>
      <w:r w:rsidRPr="009A5D51">
        <w:rPr>
          <w:lang w:val="ru-RU"/>
        </w:rPr>
        <w:t xml:space="preserve"> &lt; .001). Стандартизованные оценки медиаторной модели представлены на рисунке 2.</w:t>
      </w:r>
    </w:p>
    <w:p w14:paraId="59090503" w14:textId="77777777" w:rsidR="00EE4EDB" w:rsidRPr="009A5D51" w:rsidRDefault="00000000">
      <w:pPr>
        <w:spacing w:before="120" w:after="60" w:line="240" w:lineRule="auto"/>
        <w:jc w:val="center"/>
        <w:rPr>
          <w:lang w:val="ru-RU"/>
        </w:rPr>
      </w:pPr>
      <w:r w:rsidRPr="009A5D51">
        <w:rPr>
          <w:i/>
          <w:sz w:val="22"/>
          <w:lang w:val="ru-RU"/>
        </w:rPr>
        <w:t xml:space="preserve">Рисунок 2. Медиаторная модель. </w:t>
      </w:r>
      <w:r>
        <w:rPr>
          <w:i/>
          <w:sz w:val="22"/>
        </w:rPr>
        <w:t>χ</w:t>
      </w:r>
      <w:r w:rsidRPr="009A5D51">
        <w:rPr>
          <w:i/>
          <w:sz w:val="22"/>
          <w:lang w:val="ru-RU"/>
        </w:rPr>
        <w:t>2 = 126.16*** (</w:t>
      </w:r>
      <w:r>
        <w:rPr>
          <w:i/>
          <w:sz w:val="22"/>
        </w:rPr>
        <w:t>df</w:t>
      </w:r>
      <w:r w:rsidRPr="009A5D51">
        <w:rPr>
          <w:i/>
          <w:sz w:val="22"/>
          <w:lang w:val="ru-RU"/>
        </w:rPr>
        <w:t xml:space="preserve"> = 74); </w:t>
      </w:r>
      <w:r>
        <w:rPr>
          <w:i/>
          <w:sz w:val="22"/>
        </w:rPr>
        <w:t>RMSEA</w:t>
      </w:r>
      <w:r w:rsidRPr="009A5D51">
        <w:rPr>
          <w:i/>
          <w:sz w:val="22"/>
          <w:lang w:val="ru-RU"/>
        </w:rPr>
        <w:t xml:space="preserve"> = 0.043 [90% </w:t>
      </w:r>
      <w:r>
        <w:rPr>
          <w:i/>
          <w:sz w:val="22"/>
        </w:rPr>
        <w:t>CI</w:t>
      </w:r>
      <w:r w:rsidRPr="009A5D51">
        <w:rPr>
          <w:i/>
          <w:sz w:val="22"/>
          <w:lang w:val="ru-RU"/>
        </w:rPr>
        <w:t xml:space="preserve">: 0.029-0.055]; </w:t>
      </w:r>
      <w:r>
        <w:rPr>
          <w:i/>
          <w:sz w:val="22"/>
        </w:rPr>
        <w:t>SRMR</w:t>
      </w:r>
      <w:r w:rsidRPr="009A5D51">
        <w:rPr>
          <w:i/>
          <w:sz w:val="22"/>
          <w:lang w:val="ru-RU"/>
        </w:rPr>
        <w:t xml:space="preserve"> = 0.038; </w:t>
      </w:r>
      <w:r>
        <w:rPr>
          <w:i/>
          <w:sz w:val="22"/>
        </w:rPr>
        <w:t>NNFI</w:t>
      </w:r>
      <w:r w:rsidRPr="009A5D51">
        <w:rPr>
          <w:i/>
          <w:sz w:val="22"/>
          <w:lang w:val="ru-RU"/>
        </w:rPr>
        <w:t xml:space="preserve"> = 0.96; </w:t>
      </w:r>
      <w:r>
        <w:rPr>
          <w:i/>
          <w:sz w:val="22"/>
        </w:rPr>
        <w:t>CFI</w:t>
      </w:r>
      <w:r w:rsidRPr="009A5D51">
        <w:rPr>
          <w:i/>
          <w:sz w:val="22"/>
          <w:lang w:val="ru-RU"/>
        </w:rPr>
        <w:t xml:space="preserve"> = 0.97. ***</w:t>
      </w:r>
      <w:r>
        <w:rPr>
          <w:i/>
          <w:sz w:val="22"/>
        </w:rPr>
        <w:t>p</w:t>
      </w:r>
      <w:r w:rsidRPr="009A5D51">
        <w:rPr>
          <w:i/>
          <w:sz w:val="22"/>
          <w:lang w:val="ru-RU"/>
        </w:rPr>
        <w:t xml:space="preserve"> &lt; .001.</w:t>
      </w:r>
    </w:p>
    <w:p w14:paraId="4A12178F" w14:textId="77777777" w:rsidR="00EE4EDB" w:rsidRPr="009A5D51" w:rsidRDefault="00000000">
      <w:pPr>
        <w:pStyle w:val="1"/>
        <w:rPr>
          <w:lang w:val="ru-RU"/>
        </w:rPr>
      </w:pPr>
      <w:r w:rsidRPr="009A5D51">
        <w:rPr>
          <w:rFonts w:ascii="Times New Roman" w:eastAsia="Times New Roman" w:hAnsi="Times New Roman"/>
          <w:lang w:val="ru-RU"/>
        </w:rPr>
        <w:t>Обсуждение</w:t>
      </w:r>
    </w:p>
    <w:p w14:paraId="331EB020" w14:textId="77777777" w:rsidR="00EE4EDB" w:rsidRPr="009A5D51" w:rsidRDefault="00000000">
      <w:pPr>
        <w:spacing w:after="0" w:line="360" w:lineRule="auto"/>
        <w:ind w:firstLine="357"/>
        <w:jc w:val="both"/>
        <w:rPr>
          <w:lang w:val="ru-RU"/>
        </w:rPr>
      </w:pPr>
      <w:r w:rsidRPr="009A5D51">
        <w:rPr>
          <w:lang w:val="ru-RU"/>
        </w:rPr>
        <w:t xml:space="preserve">В нашей выборке были подтверждены все гипотезы. Анализ, выполненный в рамках </w:t>
      </w:r>
      <w:r>
        <w:t>SEM</w:t>
      </w:r>
      <w:r w:rsidRPr="009A5D51">
        <w:rPr>
          <w:lang w:val="ru-RU"/>
        </w:rPr>
        <w:t xml:space="preserve">, показал, что </w:t>
      </w:r>
      <w:r>
        <w:t>ED</w:t>
      </w:r>
      <w:r w:rsidRPr="009A5D51">
        <w:rPr>
          <w:lang w:val="ru-RU"/>
        </w:rPr>
        <w:t xml:space="preserve"> предсказывала как мотивы эскапизма, так и </w:t>
      </w:r>
      <w:r>
        <w:t>PG</w:t>
      </w:r>
      <w:r w:rsidRPr="009A5D51">
        <w:rPr>
          <w:lang w:val="ru-RU"/>
        </w:rPr>
        <w:t xml:space="preserve">, а эскапизм частично </w:t>
      </w:r>
      <w:r w:rsidRPr="009A5D51">
        <w:rPr>
          <w:lang w:val="ru-RU"/>
        </w:rPr>
        <w:lastRenderedPageBreak/>
        <w:t xml:space="preserve">опосредовал эту связь. Индексы подгонки медиаторной модели были отличными и поддерживают представление о том, что </w:t>
      </w:r>
      <w:r>
        <w:t>ED</w:t>
      </w:r>
      <w:r w:rsidRPr="009A5D51">
        <w:rPr>
          <w:lang w:val="ru-RU"/>
        </w:rPr>
        <w:t xml:space="preserve"> напрямую и косвенно влияет на уровень </w:t>
      </w:r>
      <w:r>
        <w:t>PG</w:t>
      </w:r>
      <w:r w:rsidRPr="009A5D51">
        <w:rPr>
          <w:lang w:val="ru-RU"/>
        </w:rPr>
        <w:t>.</w:t>
      </w:r>
    </w:p>
    <w:p w14:paraId="3B579A09" w14:textId="77777777" w:rsidR="00EE4EDB" w:rsidRPr="009A5D51" w:rsidRDefault="00000000">
      <w:pPr>
        <w:spacing w:after="0" w:line="360" w:lineRule="auto"/>
        <w:ind w:firstLine="357"/>
        <w:jc w:val="both"/>
        <w:rPr>
          <w:lang w:val="ru-RU"/>
        </w:rPr>
      </w:pPr>
      <w:r w:rsidRPr="009A5D51">
        <w:rPr>
          <w:lang w:val="ru-RU"/>
        </w:rPr>
        <w:t xml:space="preserve">В соответствии с </w:t>
      </w:r>
      <w:r>
        <w:t>H</w:t>
      </w:r>
      <w:r w:rsidRPr="009A5D51">
        <w:rPr>
          <w:lang w:val="ru-RU"/>
        </w:rPr>
        <w:t xml:space="preserve">1 участники, сообщавшие о более выраженной </w:t>
      </w:r>
      <w:r>
        <w:t>ED</w:t>
      </w:r>
      <w:r w:rsidRPr="009A5D51">
        <w:rPr>
          <w:lang w:val="ru-RU"/>
        </w:rPr>
        <w:t xml:space="preserve">, чаще демонстрировали проблемную вовлеченность в </w:t>
      </w:r>
      <w:r>
        <w:t>WoW</w:t>
      </w:r>
      <w:r w:rsidRPr="009A5D51">
        <w:rPr>
          <w:lang w:val="ru-RU"/>
        </w:rPr>
        <w:t xml:space="preserve">. Этот результат поддерживает представление о связи </w:t>
      </w:r>
      <w:r>
        <w:t>ED</w:t>
      </w:r>
      <w:r w:rsidRPr="009A5D51">
        <w:rPr>
          <w:lang w:val="ru-RU"/>
        </w:rPr>
        <w:t xml:space="preserve"> с </w:t>
      </w:r>
      <w:r>
        <w:t>PG</w:t>
      </w:r>
      <w:r w:rsidRPr="009A5D51">
        <w:rPr>
          <w:lang w:val="ru-RU"/>
        </w:rPr>
        <w:t xml:space="preserve"> (</w:t>
      </w:r>
      <w:r>
        <w:t>Billieux</w:t>
      </w:r>
      <w:r w:rsidRPr="009A5D51">
        <w:rPr>
          <w:lang w:val="ru-RU"/>
        </w:rPr>
        <w:t xml:space="preserve"> </w:t>
      </w:r>
      <w:r>
        <w:t>et</w:t>
      </w:r>
      <w:r w:rsidRPr="009A5D51">
        <w:rPr>
          <w:lang w:val="ru-RU"/>
        </w:rPr>
        <w:t xml:space="preserve"> </w:t>
      </w:r>
      <w:r>
        <w:t>al</w:t>
      </w:r>
      <w:r w:rsidRPr="009A5D51">
        <w:rPr>
          <w:lang w:val="ru-RU"/>
        </w:rPr>
        <w:t xml:space="preserve">., 2011; </w:t>
      </w:r>
      <w:r>
        <w:t>Est</w:t>
      </w:r>
      <w:r w:rsidRPr="009A5D51">
        <w:rPr>
          <w:lang w:val="ru-RU"/>
        </w:rPr>
        <w:t>é</w:t>
      </w:r>
      <w:r>
        <w:t>vez</w:t>
      </w:r>
      <w:r w:rsidRPr="009A5D51">
        <w:rPr>
          <w:lang w:val="ru-RU"/>
        </w:rPr>
        <w:t xml:space="preserve"> </w:t>
      </w:r>
      <w:r>
        <w:t>et</w:t>
      </w:r>
      <w:r w:rsidRPr="009A5D51">
        <w:rPr>
          <w:lang w:val="ru-RU"/>
        </w:rPr>
        <w:t xml:space="preserve"> </w:t>
      </w:r>
      <w:r>
        <w:t>al</w:t>
      </w:r>
      <w:r w:rsidRPr="009A5D51">
        <w:rPr>
          <w:lang w:val="ru-RU"/>
        </w:rPr>
        <w:t xml:space="preserve">., 2017; </w:t>
      </w:r>
      <w:r>
        <w:t>Gaetan</w:t>
      </w:r>
      <w:r w:rsidRPr="009A5D51">
        <w:rPr>
          <w:lang w:val="ru-RU"/>
        </w:rPr>
        <w:t xml:space="preserve"> </w:t>
      </w:r>
      <w:r>
        <w:t>et</w:t>
      </w:r>
      <w:r w:rsidRPr="009A5D51">
        <w:rPr>
          <w:lang w:val="ru-RU"/>
        </w:rPr>
        <w:t xml:space="preserve"> </w:t>
      </w:r>
      <w:r>
        <w:t>al</w:t>
      </w:r>
      <w:r w:rsidRPr="009A5D51">
        <w:rPr>
          <w:lang w:val="ru-RU"/>
        </w:rPr>
        <w:t>., 2016). Более того, наши результаты согласуются с другими исследованиями, показывающими, что трудности регуляции эмоций являются частью психологических симптомов, таких как депрессия и социальная тревожность, или способствуют их возникновению (</w:t>
      </w:r>
      <w:r>
        <w:t>Klemanski</w:t>
      </w:r>
      <w:r w:rsidRPr="009A5D51">
        <w:rPr>
          <w:lang w:val="ru-RU"/>
        </w:rPr>
        <w:t xml:space="preserve">, </w:t>
      </w:r>
      <w:r>
        <w:t>Curtiss</w:t>
      </w:r>
      <w:r w:rsidRPr="009A5D51">
        <w:rPr>
          <w:lang w:val="ru-RU"/>
        </w:rPr>
        <w:t xml:space="preserve">, </w:t>
      </w:r>
      <w:r>
        <w:t>McLaughlin</w:t>
      </w:r>
      <w:r w:rsidRPr="009A5D51">
        <w:rPr>
          <w:lang w:val="ru-RU"/>
        </w:rPr>
        <w:t xml:space="preserve">, &amp; </w:t>
      </w:r>
      <w:r>
        <w:t>Nolen</w:t>
      </w:r>
      <w:r w:rsidRPr="009A5D51">
        <w:rPr>
          <w:lang w:val="ru-RU"/>
        </w:rPr>
        <w:t>-</w:t>
      </w:r>
      <w:r>
        <w:t>Hoeksema</w:t>
      </w:r>
      <w:r w:rsidRPr="009A5D51">
        <w:rPr>
          <w:lang w:val="ru-RU"/>
        </w:rPr>
        <w:t xml:space="preserve">, 2017; </w:t>
      </w:r>
      <w:r>
        <w:t>Paulus</w:t>
      </w:r>
      <w:r w:rsidRPr="009A5D51">
        <w:rPr>
          <w:lang w:val="ru-RU"/>
        </w:rPr>
        <w:t xml:space="preserve">, </w:t>
      </w:r>
      <w:r>
        <w:t>Vanwoerden</w:t>
      </w:r>
      <w:r w:rsidRPr="009A5D51">
        <w:rPr>
          <w:lang w:val="ru-RU"/>
        </w:rPr>
        <w:t xml:space="preserve">, </w:t>
      </w:r>
      <w:r>
        <w:t>Norton</w:t>
      </w:r>
      <w:r w:rsidRPr="009A5D51">
        <w:rPr>
          <w:lang w:val="ru-RU"/>
        </w:rPr>
        <w:t xml:space="preserve">, &amp; </w:t>
      </w:r>
      <w:r>
        <w:t>Sharp</w:t>
      </w:r>
      <w:r w:rsidRPr="009A5D51">
        <w:rPr>
          <w:lang w:val="ru-RU"/>
        </w:rPr>
        <w:t xml:space="preserve">, 2016); эти состояния уже были идентифицированы как факторы риска </w:t>
      </w:r>
      <w:r>
        <w:t>PG</w:t>
      </w:r>
      <w:r w:rsidRPr="009A5D51">
        <w:rPr>
          <w:lang w:val="ru-RU"/>
        </w:rPr>
        <w:t xml:space="preserve"> (</w:t>
      </w:r>
      <w:r>
        <w:t>Maroney</w:t>
      </w:r>
      <w:r w:rsidRPr="009A5D51">
        <w:rPr>
          <w:lang w:val="ru-RU"/>
        </w:rPr>
        <w:t xml:space="preserve"> </w:t>
      </w:r>
      <w:r>
        <w:t>et</w:t>
      </w:r>
      <w:r w:rsidRPr="009A5D51">
        <w:rPr>
          <w:lang w:val="ru-RU"/>
        </w:rPr>
        <w:t xml:space="preserve"> </w:t>
      </w:r>
      <w:r>
        <w:t>al</w:t>
      </w:r>
      <w:r w:rsidRPr="009A5D51">
        <w:rPr>
          <w:lang w:val="ru-RU"/>
        </w:rPr>
        <w:t xml:space="preserve">., 2018; </w:t>
      </w:r>
      <w:r>
        <w:t>Yen</w:t>
      </w:r>
      <w:r w:rsidRPr="009A5D51">
        <w:rPr>
          <w:lang w:val="ru-RU"/>
        </w:rPr>
        <w:t xml:space="preserve"> </w:t>
      </w:r>
      <w:r>
        <w:t>et</w:t>
      </w:r>
      <w:r w:rsidRPr="009A5D51">
        <w:rPr>
          <w:lang w:val="ru-RU"/>
        </w:rPr>
        <w:t xml:space="preserve"> </w:t>
      </w:r>
      <w:r>
        <w:t>al</w:t>
      </w:r>
      <w:r w:rsidRPr="009A5D51">
        <w:rPr>
          <w:lang w:val="ru-RU"/>
        </w:rPr>
        <w:t>., 2018).</w:t>
      </w:r>
    </w:p>
    <w:p w14:paraId="2ABD2004" w14:textId="77777777" w:rsidR="00EE4EDB" w:rsidRPr="009A5D51" w:rsidRDefault="00000000">
      <w:pPr>
        <w:spacing w:after="0" w:line="360" w:lineRule="auto"/>
        <w:ind w:firstLine="357"/>
        <w:jc w:val="both"/>
        <w:rPr>
          <w:lang w:val="ru-RU"/>
        </w:rPr>
      </w:pPr>
      <w:r w:rsidRPr="009A5D51">
        <w:rPr>
          <w:lang w:val="ru-RU"/>
        </w:rPr>
        <w:t>Полученные данные также хорошо согласуются с современной литературой, предполагающей, что игровые среды особенно подходят для экспериментирования с негативным аффектом и совладания с ним (</w:t>
      </w:r>
      <w:r>
        <w:t>Gaetan</w:t>
      </w:r>
      <w:r w:rsidRPr="009A5D51">
        <w:rPr>
          <w:lang w:val="ru-RU"/>
        </w:rPr>
        <w:t xml:space="preserve"> </w:t>
      </w:r>
      <w:r>
        <w:t>et</w:t>
      </w:r>
      <w:r w:rsidRPr="009A5D51">
        <w:rPr>
          <w:lang w:val="ru-RU"/>
        </w:rPr>
        <w:t xml:space="preserve"> </w:t>
      </w:r>
      <w:r>
        <w:t>al</w:t>
      </w:r>
      <w:r w:rsidRPr="009A5D51">
        <w:rPr>
          <w:lang w:val="ru-RU"/>
        </w:rPr>
        <w:t xml:space="preserve">., 2016; </w:t>
      </w:r>
      <w:r>
        <w:t>Hemenover</w:t>
      </w:r>
      <w:r w:rsidRPr="009A5D51">
        <w:rPr>
          <w:lang w:val="ru-RU"/>
        </w:rPr>
        <w:t xml:space="preserve"> &amp; </w:t>
      </w:r>
      <w:r>
        <w:t>Bowman</w:t>
      </w:r>
      <w:r w:rsidRPr="009A5D51">
        <w:rPr>
          <w:lang w:val="ru-RU"/>
        </w:rPr>
        <w:t xml:space="preserve">, 2018; </w:t>
      </w:r>
      <w:r>
        <w:t>Villani</w:t>
      </w:r>
      <w:r w:rsidRPr="009A5D51">
        <w:rPr>
          <w:lang w:val="ru-RU"/>
        </w:rPr>
        <w:t xml:space="preserve"> </w:t>
      </w:r>
      <w:r>
        <w:t>et</w:t>
      </w:r>
      <w:r w:rsidRPr="009A5D51">
        <w:rPr>
          <w:lang w:val="ru-RU"/>
        </w:rPr>
        <w:t xml:space="preserve"> </w:t>
      </w:r>
      <w:r>
        <w:t>al</w:t>
      </w:r>
      <w:r w:rsidRPr="009A5D51">
        <w:rPr>
          <w:lang w:val="ru-RU"/>
        </w:rPr>
        <w:t xml:space="preserve">., 2018). Например, </w:t>
      </w:r>
      <w:r>
        <w:t>Gaetan</w:t>
      </w:r>
      <w:r w:rsidRPr="009A5D51">
        <w:rPr>
          <w:lang w:val="ru-RU"/>
        </w:rPr>
        <w:t xml:space="preserve"> </w:t>
      </w:r>
      <w:r>
        <w:t>et</w:t>
      </w:r>
      <w:r w:rsidRPr="009A5D51">
        <w:rPr>
          <w:lang w:val="ru-RU"/>
        </w:rPr>
        <w:t xml:space="preserve"> </w:t>
      </w:r>
      <w:r>
        <w:t>al</w:t>
      </w:r>
      <w:r w:rsidRPr="009A5D51">
        <w:rPr>
          <w:lang w:val="ru-RU"/>
        </w:rPr>
        <w:t xml:space="preserve">. (2016, </w:t>
      </w:r>
      <w:r>
        <w:t>p</w:t>
      </w:r>
      <w:r w:rsidRPr="009A5D51">
        <w:rPr>
          <w:lang w:val="ru-RU"/>
        </w:rPr>
        <w:t>. 347) предположили, что видеоигры могут функционировать как средство придания эмоциям психологического смысла и ослабления "</w:t>
      </w:r>
      <w:r>
        <w:t>alexithymic</w:t>
      </w:r>
      <w:r w:rsidRPr="009A5D51">
        <w:rPr>
          <w:lang w:val="ru-RU"/>
        </w:rPr>
        <w:t xml:space="preserve"> </w:t>
      </w:r>
      <w:r>
        <w:t>dynamic</w:t>
      </w:r>
      <w:r w:rsidRPr="009A5D51">
        <w:rPr>
          <w:lang w:val="ru-RU"/>
        </w:rPr>
        <w:t>"; иными словами, они могут помогать игрокам уменьшать трудности в распознавании, описании и переработке собственных чувств (</w:t>
      </w:r>
      <w:r>
        <w:t>Schimmenti</w:t>
      </w:r>
      <w:r w:rsidRPr="009A5D51">
        <w:rPr>
          <w:lang w:val="ru-RU"/>
        </w:rPr>
        <w:t xml:space="preserve">, </w:t>
      </w:r>
      <w:r>
        <w:t>Passanisi</w:t>
      </w:r>
      <w:r w:rsidRPr="009A5D51">
        <w:rPr>
          <w:lang w:val="ru-RU"/>
        </w:rPr>
        <w:t xml:space="preserve">, </w:t>
      </w:r>
      <w:r>
        <w:t>et</w:t>
      </w:r>
      <w:r w:rsidRPr="009A5D51">
        <w:rPr>
          <w:lang w:val="ru-RU"/>
        </w:rPr>
        <w:t xml:space="preserve"> </w:t>
      </w:r>
      <w:r>
        <w:t>al</w:t>
      </w:r>
      <w:r w:rsidRPr="009A5D51">
        <w:rPr>
          <w:lang w:val="ru-RU"/>
        </w:rPr>
        <w:t>., 2017). Тем не менее для лиц, испытывающих трудности регуляции эмоций, игровая среда может становиться основным пространством, где они способны обращаться к регуляции своих эмоций без негативных последствий (</w:t>
      </w:r>
      <w:r>
        <w:t>Billieux</w:t>
      </w:r>
      <w:r w:rsidRPr="009A5D51">
        <w:rPr>
          <w:lang w:val="ru-RU"/>
        </w:rPr>
        <w:t xml:space="preserve"> </w:t>
      </w:r>
      <w:r>
        <w:t>et</w:t>
      </w:r>
      <w:r w:rsidRPr="009A5D51">
        <w:rPr>
          <w:lang w:val="ru-RU"/>
        </w:rPr>
        <w:t xml:space="preserve"> </w:t>
      </w:r>
      <w:r>
        <w:t>al</w:t>
      </w:r>
      <w:r w:rsidRPr="009A5D51">
        <w:rPr>
          <w:lang w:val="ru-RU"/>
        </w:rPr>
        <w:t xml:space="preserve">., 2015; </w:t>
      </w:r>
      <w:r>
        <w:t>Chang</w:t>
      </w:r>
      <w:r w:rsidRPr="009A5D51">
        <w:rPr>
          <w:lang w:val="ru-RU"/>
        </w:rPr>
        <w:t xml:space="preserve"> </w:t>
      </w:r>
      <w:r>
        <w:t>et</w:t>
      </w:r>
      <w:r w:rsidRPr="009A5D51">
        <w:rPr>
          <w:lang w:val="ru-RU"/>
        </w:rPr>
        <w:t xml:space="preserve"> </w:t>
      </w:r>
      <w:r>
        <w:t>al</w:t>
      </w:r>
      <w:r w:rsidRPr="009A5D51">
        <w:rPr>
          <w:lang w:val="ru-RU"/>
        </w:rPr>
        <w:t xml:space="preserve">., 2018; </w:t>
      </w:r>
      <w:r>
        <w:t>Gaetan</w:t>
      </w:r>
      <w:r w:rsidRPr="009A5D51">
        <w:rPr>
          <w:lang w:val="ru-RU"/>
        </w:rPr>
        <w:t xml:space="preserve"> </w:t>
      </w:r>
      <w:r>
        <w:t>et</w:t>
      </w:r>
      <w:r w:rsidRPr="009A5D51">
        <w:rPr>
          <w:lang w:val="ru-RU"/>
        </w:rPr>
        <w:t xml:space="preserve"> </w:t>
      </w:r>
      <w:r>
        <w:t>al</w:t>
      </w:r>
      <w:r w:rsidRPr="009A5D51">
        <w:rPr>
          <w:lang w:val="ru-RU"/>
        </w:rPr>
        <w:t xml:space="preserve">., 2016; </w:t>
      </w:r>
      <w:r>
        <w:t>Kardefelt</w:t>
      </w:r>
      <w:r w:rsidRPr="009A5D51">
        <w:rPr>
          <w:lang w:val="ru-RU"/>
        </w:rPr>
        <w:t>-</w:t>
      </w:r>
      <w:r>
        <w:t>Winther</w:t>
      </w:r>
      <w:r w:rsidRPr="009A5D51">
        <w:rPr>
          <w:lang w:val="ru-RU"/>
        </w:rPr>
        <w:t>, 2014</w:t>
      </w:r>
      <w:r>
        <w:t>b</w:t>
      </w:r>
      <w:r w:rsidRPr="009A5D51">
        <w:rPr>
          <w:lang w:val="ru-RU"/>
        </w:rPr>
        <w:t xml:space="preserve">; </w:t>
      </w:r>
      <w:r>
        <w:t>Maroney</w:t>
      </w:r>
      <w:r w:rsidRPr="009A5D51">
        <w:rPr>
          <w:lang w:val="ru-RU"/>
        </w:rPr>
        <w:t xml:space="preserve"> </w:t>
      </w:r>
      <w:r>
        <w:t>et</w:t>
      </w:r>
      <w:r w:rsidRPr="009A5D51">
        <w:rPr>
          <w:lang w:val="ru-RU"/>
        </w:rPr>
        <w:t xml:space="preserve"> </w:t>
      </w:r>
      <w:r>
        <w:t>al</w:t>
      </w:r>
      <w:r w:rsidRPr="009A5D51">
        <w:rPr>
          <w:lang w:val="ru-RU"/>
        </w:rPr>
        <w:t xml:space="preserve">., 2018; </w:t>
      </w:r>
      <w:r>
        <w:t>Schimmenti</w:t>
      </w:r>
      <w:r w:rsidRPr="009A5D51">
        <w:rPr>
          <w:lang w:val="ru-RU"/>
        </w:rPr>
        <w:t xml:space="preserve"> &amp; </w:t>
      </w:r>
      <w:r>
        <w:t>Caretti</w:t>
      </w:r>
      <w:r w:rsidRPr="009A5D51">
        <w:rPr>
          <w:lang w:val="ru-RU"/>
        </w:rPr>
        <w:t>, 2010).</w:t>
      </w:r>
    </w:p>
    <w:p w14:paraId="3481FDA4" w14:textId="77777777" w:rsidR="00EE4EDB" w:rsidRPr="009A5D51" w:rsidRDefault="00000000">
      <w:pPr>
        <w:spacing w:after="0" w:line="360" w:lineRule="auto"/>
        <w:ind w:firstLine="357"/>
        <w:jc w:val="both"/>
        <w:rPr>
          <w:lang w:val="ru-RU"/>
        </w:rPr>
      </w:pPr>
      <w:r w:rsidRPr="009A5D51">
        <w:rPr>
          <w:lang w:val="ru-RU"/>
        </w:rPr>
        <w:t xml:space="preserve">В соответствии со второй гипотезой наши результаты показали, что более выраженная </w:t>
      </w:r>
      <w:r>
        <w:t>ED</w:t>
      </w:r>
      <w:r w:rsidRPr="009A5D51">
        <w:rPr>
          <w:lang w:val="ru-RU"/>
        </w:rPr>
        <w:t xml:space="preserve"> связана с эскапизмом. В предыдущих исследованиях уже обнаруживались связи мотивов эскапизма с негативными эмоциями и стрессовыми жизненными событиями (</w:t>
      </w:r>
      <w:r>
        <w:t>Hussain</w:t>
      </w:r>
      <w:r w:rsidRPr="009A5D51">
        <w:rPr>
          <w:lang w:val="ru-RU"/>
        </w:rPr>
        <w:t xml:space="preserve"> &amp; </w:t>
      </w:r>
      <w:r>
        <w:t>Griffiths</w:t>
      </w:r>
      <w:r w:rsidRPr="009A5D51">
        <w:rPr>
          <w:lang w:val="ru-RU"/>
        </w:rPr>
        <w:t xml:space="preserve">, 2009; </w:t>
      </w:r>
      <w:r>
        <w:t>Kardefelt</w:t>
      </w:r>
      <w:r w:rsidRPr="009A5D51">
        <w:rPr>
          <w:lang w:val="ru-RU"/>
        </w:rPr>
        <w:t>-</w:t>
      </w:r>
      <w:r>
        <w:t>Winther</w:t>
      </w:r>
      <w:r w:rsidRPr="009A5D51">
        <w:rPr>
          <w:lang w:val="ru-RU"/>
        </w:rPr>
        <w:t>, 2014</w:t>
      </w:r>
      <w:r>
        <w:t>a</w:t>
      </w:r>
      <w:r w:rsidRPr="009A5D51">
        <w:rPr>
          <w:lang w:val="ru-RU"/>
        </w:rPr>
        <w:t>, 2014</w:t>
      </w:r>
      <w:r>
        <w:t>c</w:t>
      </w:r>
      <w:r w:rsidRPr="009A5D51">
        <w:rPr>
          <w:lang w:val="ru-RU"/>
        </w:rPr>
        <w:t xml:space="preserve">; </w:t>
      </w:r>
      <w:r>
        <w:t>Kuo</w:t>
      </w:r>
      <w:r w:rsidRPr="009A5D51">
        <w:rPr>
          <w:lang w:val="ru-RU"/>
        </w:rPr>
        <w:t xml:space="preserve"> </w:t>
      </w:r>
      <w:r>
        <w:t>et</w:t>
      </w:r>
      <w:r w:rsidRPr="009A5D51">
        <w:rPr>
          <w:lang w:val="ru-RU"/>
        </w:rPr>
        <w:t xml:space="preserve"> </w:t>
      </w:r>
      <w:r>
        <w:t>al</w:t>
      </w:r>
      <w:r w:rsidRPr="009A5D51">
        <w:rPr>
          <w:lang w:val="ru-RU"/>
        </w:rPr>
        <w:t xml:space="preserve">., 2016). Однако, насколько нам известно, это первое исследование, сосредоточенное на потенциальном лежащем в основе процессе - а именно на </w:t>
      </w:r>
      <w:r>
        <w:t>ED</w:t>
      </w:r>
      <w:r w:rsidRPr="009A5D51">
        <w:rPr>
          <w:lang w:val="ru-RU"/>
        </w:rPr>
        <w:t xml:space="preserve">. Тем самым наши результаты согласуются с данными </w:t>
      </w:r>
      <w:r>
        <w:t>Kuo</w:t>
      </w:r>
      <w:r w:rsidRPr="009A5D51">
        <w:rPr>
          <w:lang w:val="ru-RU"/>
        </w:rPr>
        <w:t xml:space="preserve"> </w:t>
      </w:r>
      <w:r>
        <w:t>et</w:t>
      </w:r>
      <w:r w:rsidRPr="009A5D51">
        <w:rPr>
          <w:lang w:val="ru-RU"/>
        </w:rPr>
        <w:t xml:space="preserve"> </w:t>
      </w:r>
      <w:r>
        <w:t>al</w:t>
      </w:r>
      <w:r w:rsidRPr="009A5D51">
        <w:rPr>
          <w:lang w:val="ru-RU"/>
        </w:rPr>
        <w:t xml:space="preserve">. (2016), показавшими, что эскапизм может выступать для игроков </w:t>
      </w:r>
      <w:r>
        <w:t>WoW</w:t>
      </w:r>
      <w:r w:rsidRPr="009A5D51">
        <w:rPr>
          <w:lang w:val="ru-RU"/>
        </w:rPr>
        <w:t xml:space="preserve"> механизмом совладания, мотивированным необходимостью регулировать негативный аффект, связанный с внешними стрессорами. Можно предположить, что эскапизм в онлайн-играх функционирует как эмоцио-ориентированная стратегия совладания, направленная на лучшее управление негативными эмоциями и переживаниями. Парадоксальным образом эта </w:t>
      </w:r>
      <w:r w:rsidRPr="009A5D51">
        <w:rPr>
          <w:lang w:val="ru-RU"/>
        </w:rPr>
        <w:lastRenderedPageBreak/>
        <w:t>стратегия может помогать человеку справляться с неэффективностью или недоступностью других процессов регуляции эмоций, позволяя ему временно уходить от негативных состояний, переживаемых в офлайн-жизни, через погружение в альтернативные и более комфортные среды.</w:t>
      </w:r>
    </w:p>
    <w:p w14:paraId="79EC3B4A" w14:textId="77777777" w:rsidR="00EE4EDB" w:rsidRPr="009A5D51" w:rsidRDefault="00000000">
      <w:pPr>
        <w:spacing w:after="0" w:line="360" w:lineRule="auto"/>
        <w:ind w:firstLine="357"/>
        <w:jc w:val="both"/>
        <w:rPr>
          <w:lang w:val="ru-RU"/>
        </w:rPr>
      </w:pPr>
      <w:r w:rsidRPr="009A5D51">
        <w:rPr>
          <w:lang w:val="ru-RU"/>
        </w:rPr>
        <w:t xml:space="preserve">Что касается </w:t>
      </w:r>
      <w:r>
        <w:t>H</w:t>
      </w:r>
      <w:r w:rsidRPr="009A5D51">
        <w:rPr>
          <w:lang w:val="ru-RU"/>
        </w:rPr>
        <w:t xml:space="preserve">3, мы обнаружили, что эскапизм частично опосредовал связь между </w:t>
      </w:r>
      <w:r>
        <w:t>ED</w:t>
      </w:r>
      <w:r w:rsidRPr="009A5D51">
        <w:rPr>
          <w:lang w:val="ru-RU"/>
        </w:rPr>
        <w:t xml:space="preserve"> и </w:t>
      </w:r>
      <w:r>
        <w:t>PG</w:t>
      </w:r>
      <w:r w:rsidRPr="009A5D51">
        <w:rPr>
          <w:lang w:val="ru-RU"/>
        </w:rPr>
        <w:t xml:space="preserve">. Этот выявленный медиаторный эффект значим и на теоретическом уровне, поскольку показывает, что </w:t>
      </w:r>
      <w:r>
        <w:t>ED</w:t>
      </w:r>
      <w:r w:rsidRPr="009A5D51">
        <w:rPr>
          <w:lang w:val="ru-RU"/>
        </w:rPr>
        <w:t xml:space="preserve"> может побуждать людей использовать видеоигры либо как "</w:t>
      </w:r>
      <w:r>
        <w:t>psychic</w:t>
      </w:r>
      <w:r w:rsidRPr="009A5D51">
        <w:rPr>
          <w:lang w:val="ru-RU"/>
        </w:rPr>
        <w:t xml:space="preserve"> </w:t>
      </w:r>
      <w:r>
        <w:t>retreat</w:t>
      </w:r>
      <w:r w:rsidRPr="009A5D51">
        <w:rPr>
          <w:lang w:val="ru-RU"/>
        </w:rPr>
        <w:t>" от текущих и прошлых проблем (</w:t>
      </w:r>
      <w:r>
        <w:t>Schimmenti</w:t>
      </w:r>
      <w:r w:rsidRPr="009A5D51">
        <w:rPr>
          <w:lang w:val="ru-RU"/>
        </w:rPr>
        <w:t xml:space="preserve"> &amp; </w:t>
      </w:r>
      <w:r>
        <w:t>Caretti</w:t>
      </w:r>
      <w:r w:rsidRPr="009A5D51">
        <w:rPr>
          <w:lang w:val="ru-RU"/>
        </w:rPr>
        <w:t xml:space="preserve">, 2010; </w:t>
      </w:r>
      <w:r>
        <w:t>Schimmenti</w:t>
      </w:r>
      <w:r w:rsidRPr="009A5D51">
        <w:rPr>
          <w:lang w:val="ru-RU"/>
        </w:rPr>
        <w:t xml:space="preserve">, </w:t>
      </w:r>
      <w:r>
        <w:t>Guglielmucci</w:t>
      </w:r>
      <w:r w:rsidRPr="009A5D51">
        <w:rPr>
          <w:lang w:val="ru-RU"/>
        </w:rPr>
        <w:t xml:space="preserve">, </w:t>
      </w:r>
      <w:r>
        <w:t>Barbasio</w:t>
      </w:r>
      <w:r w:rsidRPr="009A5D51">
        <w:rPr>
          <w:lang w:val="ru-RU"/>
        </w:rPr>
        <w:t xml:space="preserve">, &amp; </w:t>
      </w:r>
      <w:r>
        <w:t>Granieri</w:t>
      </w:r>
      <w:r w:rsidRPr="009A5D51">
        <w:rPr>
          <w:lang w:val="ru-RU"/>
        </w:rPr>
        <w:t>, 2012), либо как стратегию совладания, позволяющую уходить от психосоциальных стрессоров (</w:t>
      </w:r>
      <w:r>
        <w:t>Kardefelt</w:t>
      </w:r>
      <w:r w:rsidRPr="009A5D51">
        <w:rPr>
          <w:lang w:val="ru-RU"/>
        </w:rPr>
        <w:t>-</w:t>
      </w:r>
      <w:r>
        <w:t>Winther</w:t>
      </w:r>
      <w:r w:rsidRPr="009A5D51">
        <w:rPr>
          <w:lang w:val="ru-RU"/>
        </w:rPr>
        <w:t>, 2014</w:t>
      </w:r>
      <w:r>
        <w:t>b</w:t>
      </w:r>
      <w:r w:rsidRPr="009A5D51">
        <w:rPr>
          <w:lang w:val="ru-RU"/>
        </w:rPr>
        <w:t>). Однако использование видеоигр как предпочтительной стратегии совладания с психологическими трудностями или ухода от них может усиливать чрезмерную вовлеченность в видеоигры и в конечном счете приводить к клинически значимым проблемным игровым паттернам. Аналогичным образом недавнее исследование (</w:t>
      </w:r>
      <w:r>
        <w:t>Maroney</w:t>
      </w:r>
      <w:r w:rsidRPr="009A5D51">
        <w:rPr>
          <w:lang w:val="ru-RU"/>
        </w:rPr>
        <w:t xml:space="preserve"> </w:t>
      </w:r>
      <w:r>
        <w:t>et</w:t>
      </w:r>
      <w:r w:rsidRPr="009A5D51">
        <w:rPr>
          <w:lang w:val="ru-RU"/>
        </w:rPr>
        <w:t xml:space="preserve"> </w:t>
      </w:r>
      <w:r>
        <w:t>al</w:t>
      </w:r>
      <w:r w:rsidRPr="009A5D51">
        <w:rPr>
          <w:lang w:val="ru-RU"/>
        </w:rPr>
        <w:t xml:space="preserve">., 2018) показало, что эскапизм опосредует связь между психосоциальным дистрессом и </w:t>
      </w:r>
      <w:r>
        <w:t>PG</w:t>
      </w:r>
      <w:r w:rsidRPr="009A5D51">
        <w:rPr>
          <w:lang w:val="ru-RU"/>
        </w:rPr>
        <w:t xml:space="preserve"> в выборке онлайн-игроков. Результаты настоящего исследования позволяют предположить, что для игроков с более выраженной </w:t>
      </w:r>
      <w:r>
        <w:t>ED</w:t>
      </w:r>
      <w:r w:rsidRPr="009A5D51">
        <w:rPr>
          <w:lang w:val="ru-RU"/>
        </w:rPr>
        <w:t xml:space="preserve"> эскапизм может временно служить эмоцио-ориентированной стратегией совладания, обеспечивающей кратковременное облегчение от тягостных аффективных состояний, и одновременно оказывать "</w:t>
      </w:r>
      <w:r>
        <w:t>push</w:t>
      </w:r>
      <w:r w:rsidRPr="009A5D51">
        <w:rPr>
          <w:lang w:val="ru-RU"/>
        </w:rPr>
        <w:t>"-эффект (</w:t>
      </w:r>
      <w:r>
        <w:t>Chang</w:t>
      </w:r>
      <w:r w:rsidRPr="009A5D51">
        <w:rPr>
          <w:lang w:val="ru-RU"/>
        </w:rPr>
        <w:t xml:space="preserve"> </w:t>
      </w:r>
      <w:r>
        <w:t>et</w:t>
      </w:r>
      <w:r w:rsidRPr="009A5D51">
        <w:rPr>
          <w:lang w:val="ru-RU"/>
        </w:rPr>
        <w:t xml:space="preserve"> </w:t>
      </w:r>
      <w:r>
        <w:t>al</w:t>
      </w:r>
      <w:r w:rsidRPr="009A5D51">
        <w:rPr>
          <w:lang w:val="ru-RU"/>
        </w:rPr>
        <w:t xml:space="preserve">., 2018), подталкивающий игроков к игре ради достижения краткосрочного благополучия, что повышает риск </w:t>
      </w:r>
      <w:r>
        <w:t>PG</w:t>
      </w:r>
      <w:r w:rsidRPr="009A5D51">
        <w:rPr>
          <w:lang w:val="ru-RU"/>
        </w:rPr>
        <w:t>.</w:t>
      </w:r>
    </w:p>
    <w:p w14:paraId="76AB875B" w14:textId="77777777" w:rsidR="00EE4EDB" w:rsidRPr="009A5D51" w:rsidRDefault="00000000">
      <w:pPr>
        <w:spacing w:after="0" w:line="360" w:lineRule="auto"/>
        <w:ind w:firstLine="357"/>
        <w:jc w:val="both"/>
        <w:rPr>
          <w:lang w:val="ru-RU"/>
        </w:rPr>
      </w:pPr>
      <w:r w:rsidRPr="009A5D51">
        <w:rPr>
          <w:lang w:val="ru-RU"/>
        </w:rPr>
        <w:t>Следовательно, эти результаты ставят важные вопросы относительно различения здорового и неадаптивного эскапизма, требующие дальнейшей проработки. Действительно, многие авторы показывали, что мотивы эскапизма могут быть связаны как с проблемным игровым поведением, так и с высокой вовлеченностью в игру, а различные психологические факторы могут взаимодействовать с эскапизмом, влияя на его функциональность (</w:t>
      </w:r>
      <w:r>
        <w:t>Bowditch</w:t>
      </w:r>
      <w:r w:rsidRPr="009A5D51">
        <w:rPr>
          <w:lang w:val="ru-RU"/>
        </w:rPr>
        <w:t xml:space="preserve"> </w:t>
      </w:r>
      <w:r>
        <w:t>et</w:t>
      </w:r>
      <w:r w:rsidRPr="009A5D51">
        <w:rPr>
          <w:lang w:val="ru-RU"/>
        </w:rPr>
        <w:t xml:space="preserve"> </w:t>
      </w:r>
      <w:r>
        <w:t>al</w:t>
      </w:r>
      <w:r w:rsidRPr="009A5D51">
        <w:rPr>
          <w:lang w:val="ru-RU"/>
        </w:rPr>
        <w:t xml:space="preserve">., 2018; </w:t>
      </w:r>
      <w:r>
        <w:t>Deleuze</w:t>
      </w:r>
      <w:r w:rsidRPr="009A5D51">
        <w:rPr>
          <w:lang w:val="ru-RU"/>
        </w:rPr>
        <w:t xml:space="preserve"> </w:t>
      </w:r>
      <w:r>
        <w:t>et</w:t>
      </w:r>
      <w:r w:rsidRPr="009A5D51">
        <w:rPr>
          <w:lang w:val="ru-RU"/>
        </w:rPr>
        <w:t xml:space="preserve"> </w:t>
      </w:r>
      <w:r>
        <w:t>al</w:t>
      </w:r>
      <w:r w:rsidRPr="009A5D51">
        <w:rPr>
          <w:lang w:val="ru-RU"/>
        </w:rPr>
        <w:t xml:space="preserve">., 2018; </w:t>
      </w:r>
      <w:r>
        <w:t>Kardefelt</w:t>
      </w:r>
      <w:r w:rsidRPr="009A5D51">
        <w:rPr>
          <w:lang w:val="ru-RU"/>
        </w:rPr>
        <w:t>-</w:t>
      </w:r>
      <w:r>
        <w:t>Winther</w:t>
      </w:r>
      <w:r w:rsidRPr="009A5D51">
        <w:rPr>
          <w:lang w:val="ru-RU"/>
        </w:rPr>
        <w:t>, 2014</w:t>
      </w:r>
      <w:r>
        <w:t>c</w:t>
      </w:r>
      <w:r w:rsidRPr="009A5D51">
        <w:rPr>
          <w:lang w:val="ru-RU"/>
        </w:rPr>
        <w:t xml:space="preserve">; </w:t>
      </w:r>
      <w:r>
        <w:t>Kuo</w:t>
      </w:r>
      <w:r w:rsidRPr="009A5D51">
        <w:rPr>
          <w:lang w:val="ru-RU"/>
        </w:rPr>
        <w:t xml:space="preserve"> </w:t>
      </w:r>
      <w:r>
        <w:t>et</w:t>
      </w:r>
      <w:r w:rsidRPr="009A5D51">
        <w:rPr>
          <w:lang w:val="ru-RU"/>
        </w:rPr>
        <w:t xml:space="preserve"> </w:t>
      </w:r>
      <w:r>
        <w:t>al</w:t>
      </w:r>
      <w:r w:rsidRPr="009A5D51">
        <w:rPr>
          <w:lang w:val="ru-RU"/>
        </w:rPr>
        <w:t xml:space="preserve">., 2016). Например, </w:t>
      </w:r>
      <w:r>
        <w:t>Kuo</w:t>
      </w:r>
      <w:r w:rsidRPr="009A5D51">
        <w:rPr>
          <w:lang w:val="ru-RU"/>
        </w:rPr>
        <w:t xml:space="preserve"> </w:t>
      </w:r>
      <w:r>
        <w:t>et</w:t>
      </w:r>
      <w:r w:rsidRPr="009A5D51">
        <w:rPr>
          <w:lang w:val="ru-RU"/>
        </w:rPr>
        <w:t xml:space="preserve"> </w:t>
      </w:r>
      <w:r>
        <w:t>al</w:t>
      </w:r>
      <w:r w:rsidRPr="009A5D51">
        <w:rPr>
          <w:lang w:val="ru-RU"/>
        </w:rPr>
        <w:t xml:space="preserve">. (2016) отмечали, что в то время как пассивный эскапизм дает облегчение от стрессовых эмоций за счет простого перенаправления внимания на фантазийные нарративы, предлагаемые медиумом, активный эскапизм может позволять игроку напрямую противостоять конкретным психологическим угрозам (например, низкой самооценке), перенаправляя внимание в интерактивный фантазийный мир, способный дать опыт самоутверждения и расширения собственных возможностей. Соответственно, в нашей </w:t>
      </w:r>
      <w:r>
        <w:t>SEM</w:t>
      </w:r>
      <w:r w:rsidRPr="009A5D51">
        <w:rPr>
          <w:lang w:val="ru-RU"/>
        </w:rPr>
        <w:t xml:space="preserve"> можно было наблюдать явные различия в величине нагрузок пунктов эскапизма на их </w:t>
      </w:r>
      <w:r w:rsidRPr="009A5D51">
        <w:rPr>
          <w:lang w:val="ru-RU"/>
        </w:rPr>
        <w:lastRenderedPageBreak/>
        <w:t>латентный фактор, что позволяет предполагать многомерность конструкта эскапизма. Поэтому прояснение природы эскапизма как отражения избегающих или активных копинг-процессов следует рассматривать как важную задачу для будущих исследований в этой области. В целом эти результаты подчеркивают необходимость разработки новых измерительных инструментов, способных различать адаптивный и неадаптивный эскапизм в контексте видеоигровой активности.</w:t>
      </w:r>
    </w:p>
    <w:p w14:paraId="2D74A978" w14:textId="77777777" w:rsidR="00EE4EDB" w:rsidRPr="009A5D51" w:rsidRDefault="00000000">
      <w:pPr>
        <w:pStyle w:val="1"/>
        <w:rPr>
          <w:lang w:val="ru-RU"/>
        </w:rPr>
      </w:pPr>
      <w:r w:rsidRPr="009A5D51">
        <w:rPr>
          <w:rFonts w:ascii="Times New Roman" w:eastAsia="Times New Roman" w:hAnsi="Times New Roman"/>
          <w:lang w:val="ru-RU"/>
        </w:rPr>
        <w:t>Ограничения</w:t>
      </w:r>
    </w:p>
    <w:p w14:paraId="6F961A5C" w14:textId="77777777" w:rsidR="00EE4EDB" w:rsidRPr="009A5D51" w:rsidRDefault="00000000">
      <w:pPr>
        <w:spacing w:after="0" w:line="360" w:lineRule="auto"/>
        <w:ind w:firstLine="357"/>
        <w:jc w:val="both"/>
        <w:rPr>
          <w:lang w:val="ru-RU"/>
        </w:rPr>
      </w:pPr>
      <w:r w:rsidRPr="009A5D51">
        <w:rPr>
          <w:lang w:val="ru-RU"/>
        </w:rPr>
        <w:t>Данное исследование имеет ряд ограничений, которые необходимо признать. Во-первых, оно носит поперечный характер, поэтому делать выводы о причинности нельзя. Во-вторых, исследование опирается на самоотчетные методики, что может приводить к эффектам смещения и к занижению или завышению поведения. В-третьих, самоотбор участников ограничивает возможность обобщения наших результатов на других игроков в видеоигры (</w:t>
      </w:r>
      <w:r>
        <w:t>Khazaal</w:t>
      </w:r>
      <w:r w:rsidRPr="009A5D51">
        <w:rPr>
          <w:lang w:val="ru-RU"/>
        </w:rPr>
        <w:t xml:space="preserve"> </w:t>
      </w:r>
      <w:r>
        <w:t>et</w:t>
      </w:r>
      <w:r w:rsidRPr="009A5D51">
        <w:rPr>
          <w:lang w:val="ru-RU"/>
        </w:rPr>
        <w:t xml:space="preserve"> </w:t>
      </w:r>
      <w:r>
        <w:t>al</w:t>
      </w:r>
      <w:r w:rsidRPr="009A5D51">
        <w:rPr>
          <w:lang w:val="ru-RU"/>
        </w:rPr>
        <w:t xml:space="preserve">., 2014). В-четвертых, частичная потеря выборки была высокой: полностью завершили опрос лишь 50% первоначальных участников. Вероятно, многие респонденты сочли опрос слишком длинным, и более короткая версия могла бы уменьшить эту потерю. Наконец, не оценивались иные психосоциальные факторы, такие как социальная тревожность, депрессия и социальная изоляция, а также другие игровые мотивы, которые могли бы играть роль в </w:t>
      </w:r>
      <w:r>
        <w:t>PG</w:t>
      </w:r>
      <w:r w:rsidRPr="009A5D51">
        <w:rPr>
          <w:lang w:val="ru-RU"/>
        </w:rPr>
        <w:t>. Следовательно, в будущем необходимы исследования с использованием лонгитюдных дизайнов и более репрезентативных выборок игроков.</w:t>
      </w:r>
    </w:p>
    <w:p w14:paraId="6C7E3D58" w14:textId="77777777" w:rsidR="00EE4EDB" w:rsidRPr="009A5D51" w:rsidRDefault="00000000">
      <w:pPr>
        <w:pStyle w:val="1"/>
        <w:rPr>
          <w:lang w:val="ru-RU"/>
        </w:rPr>
      </w:pPr>
      <w:r w:rsidRPr="009A5D51">
        <w:rPr>
          <w:rFonts w:ascii="Times New Roman" w:eastAsia="Times New Roman" w:hAnsi="Times New Roman"/>
          <w:lang w:val="ru-RU"/>
        </w:rPr>
        <w:t>Выводы</w:t>
      </w:r>
    </w:p>
    <w:p w14:paraId="420457D3" w14:textId="77777777" w:rsidR="00EE4EDB" w:rsidRPr="009A5D51" w:rsidRDefault="00000000">
      <w:pPr>
        <w:spacing w:after="0" w:line="360" w:lineRule="auto"/>
        <w:ind w:firstLine="357"/>
        <w:jc w:val="both"/>
        <w:rPr>
          <w:lang w:val="ru-RU"/>
        </w:rPr>
      </w:pPr>
      <w:r w:rsidRPr="009A5D51">
        <w:rPr>
          <w:lang w:val="ru-RU"/>
        </w:rPr>
        <w:t xml:space="preserve">Результаты этого исследования предоставляют новую информацию, способствующую лучшему пониманию психологических факторов, лежащих в основе формирования и поддержания </w:t>
      </w:r>
      <w:r>
        <w:t>PG</w:t>
      </w:r>
      <w:r w:rsidRPr="009A5D51">
        <w:rPr>
          <w:lang w:val="ru-RU"/>
        </w:rPr>
        <w:t xml:space="preserve"> у игроков </w:t>
      </w:r>
      <w:r>
        <w:t>WoW</w:t>
      </w:r>
      <w:r w:rsidRPr="009A5D51">
        <w:rPr>
          <w:lang w:val="ru-RU"/>
        </w:rPr>
        <w:t xml:space="preserve">. Они указывают на то, что мотив эскапизма у лиц с выраженной дисрегуляцией эмоций может усиливать </w:t>
      </w:r>
      <w:r>
        <w:t>PG</w:t>
      </w:r>
      <w:r w:rsidRPr="009A5D51">
        <w:rPr>
          <w:lang w:val="ru-RU"/>
        </w:rPr>
        <w:t xml:space="preserve">. В соответствии с компенсаторной рамкой </w:t>
      </w:r>
      <w:r>
        <w:t>PG</w:t>
      </w:r>
      <w:r w:rsidRPr="009A5D51">
        <w:rPr>
          <w:lang w:val="ru-RU"/>
        </w:rPr>
        <w:t xml:space="preserve"> (</w:t>
      </w:r>
      <w:r>
        <w:t>Kardefelt</w:t>
      </w:r>
      <w:r w:rsidRPr="009A5D51">
        <w:rPr>
          <w:lang w:val="ru-RU"/>
        </w:rPr>
        <w:t>-</w:t>
      </w:r>
      <w:r>
        <w:t>Winther</w:t>
      </w:r>
      <w:r w:rsidRPr="009A5D51">
        <w:rPr>
          <w:lang w:val="ru-RU"/>
        </w:rPr>
        <w:t>, 2014</w:t>
      </w:r>
      <w:r>
        <w:t>b</w:t>
      </w:r>
      <w:r w:rsidRPr="009A5D51">
        <w:rPr>
          <w:lang w:val="ru-RU"/>
        </w:rPr>
        <w:t xml:space="preserve">; </w:t>
      </w:r>
      <w:r>
        <w:t>Schimmenti</w:t>
      </w:r>
      <w:r w:rsidRPr="009A5D51">
        <w:rPr>
          <w:lang w:val="ru-RU"/>
        </w:rPr>
        <w:t xml:space="preserve"> &amp; </w:t>
      </w:r>
      <w:r>
        <w:t>Caretti</w:t>
      </w:r>
      <w:r w:rsidRPr="009A5D51">
        <w:rPr>
          <w:lang w:val="ru-RU"/>
        </w:rPr>
        <w:t xml:space="preserve">, 2010; </w:t>
      </w:r>
      <w:r>
        <w:t>Snodgrass</w:t>
      </w:r>
      <w:r w:rsidRPr="009A5D51">
        <w:rPr>
          <w:lang w:val="ru-RU"/>
        </w:rPr>
        <w:t xml:space="preserve"> </w:t>
      </w:r>
      <w:r>
        <w:t>et</w:t>
      </w:r>
      <w:r w:rsidRPr="009A5D51">
        <w:rPr>
          <w:lang w:val="ru-RU"/>
        </w:rPr>
        <w:t xml:space="preserve"> </w:t>
      </w:r>
      <w:r>
        <w:t>al</w:t>
      </w:r>
      <w:r w:rsidRPr="009A5D51">
        <w:rPr>
          <w:lang w:val="ru-RU"/>
        </w:rPr>
        <w:t xml:space="preserve">., 2018) полученные данные также демонстрируют взаимодействие между трудностями регуляции эмоций, эскапизмом и проблемной вовлеченностью в </w:t>
      </w:r>
      <w:r>
        <w:t>WoW</w:t>
      </w:r>
      <w:r w:rsidRPr="009A5D51">
        <w:rPr>
          <w:lang w:val="ru-RU"/>
        </w:rPr>
        <w:t xml:space="preserve">. Кроме того, они указывают на то, что игроки, характеризующиеся трудностями регуляции эмоций, могут опираться на игровой опыт для регуляции собственных эмоциональных переживаний, что в конечном счете может превращаться в неадаптивную стратегию совладания. Хотя глубоко иммерсивный характер игрового опыта может способствовать регуляции негативных </w:t>
      </w:r>
      <w:r w:rsidRPr="009A5D51">
        <w:rPr>
          <w:lang w:val="ru-RU"/>
        </w:rPr>
        <w:lastRenderedPageBreak/>
        <w:t>состояний и временному облегчению от них, такая неадаптивная эмоцио-ориентированная стратегия совладания повышает риск проблемной вовлеченности в видеоигры. Следует отметить, что это исследование имеет и некоторые клинические импликации. Игрокам с проблемными паттернами, которых подталкивают к уходу в видеоигру переполняющие эмоции, могут быть полезны вмешательства, направленные на усиление их стратегий и процессов регуляции эмоций, например вмешательства, способствующие интероцепции и эмоциональному осознаванию (</w:t>
      </w:r>
      <w:r>
        <w:t>Murphy</w:t>
      </w:r>
      <w:r w:rsidRPr="009A5D51">
        <w:rPr>
          <w:lang w:val="ru-RU"/>
        </w:rPr>
        <w:t xml:space="preserve">, </w:t>
      </w:r>
      <w:r>
        <w:t>Brewer</w:t>
      </w:r>
      <w:r w:rsidRPr="009A5D51">
        <w:rPr>
          <w:lang w:val="ru-RU"/>
        </w:rPr>
        <w:t xml:space="preserve">, </w:t>
      </w:r>
      <w:r>
        <w:t>Catmur</w:t>
      </w:r>
      <w:r w:rsidRPr="009A5D51">
        <w:rPr>
          <w:lang w:val="ru-RU"/>
        </w:rPr>
        <w:t xml:space="preserve">, &amp; </w:t>
      </w:r>
      <w:r>
        <w:t>Bird</w:t>
      </w:r>
      <w:r w:rsidRPr="009A5D51">
        <w:rPr>
          <w:lang w:val="ru-RU"/>
        </w:rPr>
        <w:t>, 2017), чтобы уменьшать аффективно нагруженную импульсивность (</w:t>
      </w:r>
      <w:r>
        <w:t>Billieux</w:t>
      </w:r>
      <w:r w:rsidRPr="009A5D51">
        <w:rPr>
          <w:lang w:val="ru-RU"/>
        </w:rPr>
        <w:t xml:space="preserve">, </w:t>
      </w:r>
      <w:r>
        <w:t>Gay</w:t>
      </w:r>
      <w:r w:rsidRPr="009A5D51">
        <w:rPr>
          <w:lang w:val="ru-RU"/>
        </w:rPr>
        <w:t xml:space="preserve">, </w:t>
      </w:r>
      <w:r>
        <w:t>Rochat</w:t>
      </w:r>
      <w:r w:rsidRPr="009A5D51">
        <w:rPr>
          <w:lang w:val="ru-RU"/>
        </w:rPr>
        <w:t xml:space="preserve">, &amp; </w:t>
      </w:r>
      <w:r>
        <w:t>Van</w:t>
      </w:r>
      <w:r w:rsidRPr="009A5D51">
        <w:rPr>
          <w:lang w:val="ru-RU"/>
        </w:rPr>
        <w:t xml:space="preserve"> </w:t>
      </w:r>
      <w:r>
        <w:t>der</w:t>
      </w:r>
      <w:r w:rsidRPr="009A5D51">
        <w:rPr>
          <w:lang w:val="ru-RU"/>
        </w:rPr>
        <w:t xml:space="preserve"> </w:t>
      </w:r>
      <w:r>
        <w:t>Linden</w:t>
      </w:r>
      <w:r w:rsidRPr="009A5D51">
        <w:rPr>
          <w:lang w:val="ru-RU"/>
        </w:rPr>
        <w:t xml:space="preserve">, 2010) и укреплять </w:t>
      </w:r>
      <w:r>
        <w:t>mentalized</w:t>
      </w:r>
      <w:r w:rsidRPr="009A5D51">
        <w:rPr>
          <w:lang w:val="ru-RU"/>
        </w:rPr>
        <w:t xml:space="preserve"> </w:t>
      </w:r>
      <w:r>
        <w:t>affectivity</w:t>
      </w:r>
      <w:r w:rsidRPr="009A5D51">
        <w:rPr>
          <w:lang w:val="ru-RU"/>
        </w:rPr>
        <w:t xml:space="preserve"> (</w:t>
      </w:r>
      <w:r>
        <w:t>Schimmenti</w:t>
      </w:r>
      <w:r w:rsidRPr="009A5D51">
        <w:rPr>
          <w:lang w:val="ru-RU"/>
        </w:rPr>
        <w:t xml:space="preserve"> &amp; </w:t>
      </w:r>
      <w:r>
        <w:t>Caretti</w:t>
      </w:r>
      <w:r w:rsidRPr="009A5D51">
        <w:rPr>
          <w:lang w:val="ru-RU"/>
        </w:rPr>
        <w:t>, 2010).</w:t>
      </w:r>
    </w:p>
    <w:sectPr w:rsidR="00EE4EDB" w:rsidRPr="009A5D51" w:rsidSect="00034616">
      <w:pgSz w:w="12240" w:h="15840"/>
      <w:pgMar w:top="1134" w:right="1134"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37942537">
    <w:abstractNumId w:val="8"/>
  </w:num>
  <w:num w:numId="2" w16cid:durableId="1002589755">
    <w:abstractNumId w:val="6"/>
  </w:num>
  <w:num w:numId="3" w16cid:durableId="713651701">
    <w:abstractNumId w:val="5"/>
  </w:num>
  <w:num w:numId="4" w16cid:durableId="2123375315">
    <w:abstractNumId w:val="4"/>
  </w:num>
  <w:num w:numId="5" w16cid:durableId="263539718">
    <w:abstractNumId w:val="7"/>
  </w:num>
  <w:num w:numId="6" w16cid:durableId="1694264434">
    <w:abstractNumId w:val="3"/>
  </w:num>
  <w:num w:numId="7" w16cid:durableId="5450443">
    <w:abstractNumId w:val="2"/>
  </w:num>
  <w:num w:numId="8" w16cid:durableId="1414475961">
    <w:abstractNumId w:val="1"/>
  </w:num>
  <w:num w:numId="9" w16cid:durableId="57174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A5D51"/>
    <w:rsid w:val="00AA1D8D"/>
    <w:rsid w:val="00B47730"/>
    <w:rsid w:val="00B63AC0"/>
    <w:rsid w:val="00CB0664"/>
    <w:rsid w:val="00EE4E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A1FB3"/>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5247</Words>
  <Characters>29913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2026-04-20T14:09:00Z</dcterms:modified>
  <cp:category/>
</cp:coreProperties>
</file>