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D97A" w14:textId="77777777" w:rsidR="004D4BE7" w:rsidRDefault="004D4BE7"/>
    <w:p w14:paraId="692BE5B3" w14:textId="77777777" w:rsidR="004D4BE7" w:rsidRPr="008A0118" w:rsidRDefault="004D4BE7" w:rsidP="004D4BE7">
      <w:pPr>
        <w:rPr>
          <w:sz w:val="44"/>
          <w:szCs w:val="44"/>
          <w:lang w:val="ru-RU"/>
        </w:rPr>
      </w:pPr>
      <w:r w:rsidRPr="008A0118">
        <w:rPr>
          <w:sz w:val="44"/>
          <w:szCs w:val="44"/>
          <w:lang w:val="ru-RU"/>
        </w:rPr>
        <w:t>ДАЛЕЕ ТЕКСТ ПЕРЕРАБОТАН МНОЙ. ЭТО НЕ СТАТЬЯ И НЕ ПЕРЕВОД СТАТЬИ, А ПЕРЕПИСАННЫЙ МНОЙ ОСМЫСЛЕННЫЙ ТЕКСТ НА ОСНОВЕ СТАТЬИ</w:t>
      </w:r>
    </w:p>
    <w:p w14:paraId="22BEF573" w14:textId="77777777" w:rsidR="004D4BE7" w:rsidRPr="0031078A" w:rsidRDefault="004D4BE7"/>
    <w:p w14:paraId="6D017DAD" w14:textId="550AF77E" w:rsidR="003A0B7E" w:rsidRPr="004D4BE7" w:rsidRDefault="00000000">
      <w:pPr>
        <w:rPr>
          <w:lang w:val="ru-RU"/>
        </w:rPr>
      </w:pPr>
      <w:r>
        <w:t>Citation</w:t>
      </w:r>
      <w:r w:rsidRPr="004D4BE7">
        <w:t xml:space="preserve">: </w:t>
      </w:r>
      <w:r w:rsidR="004D4BE7" w:rsidRPr="004D4BE7">
        <w:t xml:space="preserve">Yen JY, </w:t>
      </w:r>
      <w:proofErr w:type="spellStart"/>
      <w:r w:rsidR="004D4BE7" w:rsidRPr="004D4BE7">
        <w:t>Király</w:t>
      </w:r>
      <w:proofErr w:type="spellEnd"/>
      <w:r w:rsidR="004D4BE7" w:rsidRPr="004D4BE7">
        <w:t xml:space="preserve"> O, Griffiths MD, </w:t>
      </w:r>
      <w:proofErr w:type="spellStart"/>
      <w:r w:rsidR="004D4BE7" w:rsidRPr="004D4BE7">
        <w:t>Demetrovics</w:t>
      </w:r>
      <w:proofErr w:type="spellEnd"/>
      <w:r w:rsidR="004D4BE7" w:rsidRPr="004D4BE7">
        <w:t xml:space="preserve"> Z, Ko CH. A case-control study for psychiatric comorbidity and associative factors of gaming disorder and hazardous gaming based on ICD-11 criteria: Cognitive control, emotion regulation, and reinforcement sensitivity. J </w:t>
      </w:r>
      <w:proofErr w:type="spellStart"/>
      <w:r w:rsidR="004D4BE7" w:rsidRPr="004D4BE7">
        <w:t>Behav</w:t>
      </w:r>
      <w:proofErr w:type="spellEnd"/>
      <w:r w:rsidR="004D4BE7" w:rsidRPr="004D4BE7">
        <w:t xml:space="preserve"> Addict. 2024 Dec 5;13(4):1014-1027. </w:t>
      </w:r>
      <w:proofErr w:type="spellStart"/>
      <w:r w:rsidR="004D4BE7" w:rsidRPr="004D4BE7">
        <w:t>doi</w:t>
      </w:r>
      <w:proofErr w:type="spellEnd"/>
      <w:r w:rsidR="004D4BE7" w:rsidRPr="004D4BE7">
        <w:t>: 10.1556/2006.2024.00066. PMID: 39636323; PMCID: PMC11737412.</w:t>
      </w:r>
    </w:p>
    <w:p w14:paraId="6D3F4F4E" w14:textId="77777777" w:rsidR="003A0B7E" w:rsidRPr="004D4BE7" w:rsidRDefault="00000000">
      <w:pPr>
        <w:spacing w:after="160"/>
        <w:jc w:val="center"/>
        <w:rPr>
          <w:lang w:val="ru-RU"/>
        </w:rPr>
      </w:pPr>
      <w:r w:rsidRPr="004D4BE7">
        <w:rPr>
          <w:b/>
          <w:sz w:val="30"/>
          <w:lang w:val="ru-RU"/>
        </w:rPr>
        <w:t xml:space="preserve">Исследование типа случай-контроль психиатрической </w:t>
      </w:r>
      <w:proofErr w:type="spellStart"/>
      <w:r w:rsidRPr="004D4BE7">
        <w:rPr>
          <w:b/>
          <w:sz w:val="30"/>
          <w:lang w:val="ru-RU"/>
        </w:rPr>
        <w:t>коморбидности</w:t>
      </w:r>
      <w:proofErr w:type="spellEnd"/>
      <w:r w:rsidRPr="004D4BE7">
        <w:rPr>
          <w:b/>
          <w:sz w:val="30"/>
          <w:lang w:val="ru-RU"/>
        </w:rPr>
        <w:t xml:space="preserve"> и факторов, связанных с игровым расстройством и опасным геймингом на основе критериев </w:t>
      </w:r>
      <w:r>
        <w:rPr>
          <w:b/>
          <w:sz w:val="30"/>
        </w:rPr>
        <w:t>ICD</w:t>
      </w:r>
      <w:r w:rsidRPr="004D4BE7">
        <w:rPr>
          <w:b/>
          <w:sz w:val="30"/>
          <w:lang w:val="ru-RU"/>
        </w:rPr>
        <w:t>-11: когнитивный контроль, регуляция эмоций и чувствительность к подкреплению</w:t>
      </w:r>
    </w:p>
    <w:p w14:paraId="30D24E1C" w14:textId="77777777" w:rsidR="003A0B7E" w:rsidRDefault="00000000">
      <w:pPr>
        <w:spacing w:after="120"/>
        <w:jc w:val="center"/>
      </w:pPr>
      <w:r>
        <w:rPr>
          <w:sz w:val="23"/>
        </w:rPr>
        <w:t>JU-YU YEN, ORSOLYA KIRÁLY, MARK D. GRIFFITHS, ZSOLT DEMETROVICS, CHIH-HUNG KO</w:t>
      </w:r>
    </w:p>
    <w:p w14:paraId="0F0B5BDF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 xml:space="preserve">1. Кафедра психиатрии, Больница </w:t>
      </w:r>
      <w:proofErr w:type="spellStart"/>
      <w:r w:rsidRPr="004D4BE7">
        <w:rPr>
          <w:sz w:val="21"/>
          <w:lang w:val="ru-RU"/>
        </w:rPr>
        <w:t>Гаосюнского</w:t>
      </w:r>
      <w:proofErr w:type="spellEnd"/>
      <w:r w:rsidRPr="004D4BE7">
        <w:rPr>
          <w:sz w:val="21"/>
          <w:lang w:val="ru-RU"/>
        </w:rPr>
        <w:t xml:space="preserve"> медицинского университета, </w:t>
      </w:r>
      <w:proofErr w:type="spellStart"/>
      <w:r w:rsidRPr="004D4BE7">
        <w:rPr>
          <w:sz w:val="21"/>
          <w:lang w:val="ru-RU"/>
        </w:rPr>
        <w:t>Гаосюнский</w:t>
      </w:r>
      <w:proofErr w:type="spellEnd"/>
      <w:r w:rsidRPr="004D4BE7">
        <w:rPr>
          <w:sz w:val="21"/>
          <w:lang w:val="ru-RU"/>
        </w:rPr>
        <w:t xml:space="preserve"> медицинский университет, г. Гаосюн, Тайвань.</w:t>
      </w:r>
    </w:p>
    <w:p w14:paraId="41D0295E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 xml:space="preserve">2. Кафедра психиатрии, Больница </w:t>
      </w:r>
      <w:proofErr w:type="spellStart"/>
      <w:r w:rsidRPr="004D4BE7">
        <w:rPr>
          <w:sz w:val="21"/>
          <w:lang w:val="ru-RU"/>
        </w:rPr>
        <w:t>Ганшань</w:t>
      </w:r>
      <w:proofErr w:type="spellEnd"/>
      <w:r w:rsidRPr="004D4BE7">
        <w:rPr>
          <w:sz w:val="21"/>
          <w:lang w:val="ru-RU"/>
        </w:rPr>
        <w:t xml:space="preserve"> </w:t>
      </w:r>
      <w:proofErr w:type="spellStart"/>
      <w:r w:rsidRPr="004D4BE7">
        <w:rPr>
          <w:sz w:val="21"/>
          <w:lang w:val="ru-RU"/>
        </w:rPr>
        <w:t>Гаосюнского</w:t>
      </w:r>
      <w:proofErr w:type="spellEnd"/>
      <w:r w:rsidRPr="004D4BE7">
        <w:rPr>
          <w:sz w:val="21"/>
          <w:lang w:val="ru-RU"/>
        </w:rPr>
        <w:t xml:space="preserve"> медицинского университета, г. Гаосюн, Тайвань.</w:t>
      </w:r>
    </w:p>
    <w:p w14:paraId="69CFCD31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 xml:space="preserve">3. Институт психологии, Университет имени </w:t>
      </w:r>
      <w:proofErr w:type="spellStart"/>
      <w:r w:rsidRPr="004D4BE7">
        <w:rPr>
          <w:sz w:val="21"/>
          <w:lang w:val="ru-RU"/>
        </w:rPr>
        <w:t>Этвёша</w:t>
      </w:r>
      <w:proofErr w:type="spellEnd"/>
      <w:r w:rsidRPr="004D4BE7">
        <w:rPr>
          <w:sz w:val="21"/>
          <w:lang w:val="ru-RU"/>
        </w:rPr>
        <w:t xml:space="preserve"> </w:t>
      </w:r>
      <w:proofErr w:type="spellStart"/>
      <w:r w:rsidRPr="004D4BE7">
        <w:rPr>
          <w:sz w:val="21"/>
          <w:lang w:val="ru-RU"/>
        </w:rPr>
        <w:t>Лоранда</w:t>
      </w:r>
      <w:proofErr w:type="spellEnd"/>
      <w:r w:rsidRPr="004D4BE7">
        <w:rPr>
          <w:sz w:val="21"/>
          <w:lang w:val="ru-RU"/>
        </w:rPr>
        <w:t xml:space="preserve"> (</w:t>
      </w:r>
      <w:r>
        <w:rPr>
          <w:sz w:val="21"/>
        </w:rPr>
        <w:t>ELTE</w:t>
      </w:r>
      <w:r w:rsidRPr="004D4BE7">
        <w:rPr>
          <w:sz w:val="21"/>
          <w:lang w:val="ru-RU"/>
        </w:rPr>
        <w:t>), Будапешт, Венгрия.</w:t>
      </w:r>
    </w:p>
    <w:p w14:paraId="63FFCD08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>4. Центр передового опыта в области ответственного гемблинга, Университет Гибралтара, Гибралтар.</w:t>
      </w:r>
    </w:p>
    <w:p w14:paraId="67698BE3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 xml:space="preserve">5. Международная исследовательская группа по изучению игровой деятельности, кафедра психологии, Университет Ноттингем </w:t>
      </w:r>
      <w:proofErr w:type="spellStart"/>
      <w:r w:rsidRPr="004D4BE7">
        <w:rPr>
          <w:sz w:val="21"/>
          <w:lang w:val="ru-RU"/>
        </w:rPr>
        <w:t>Трент</w:t>
      </w:r>
      <w:proofErr w:type="spellEnd"/>
      <w:r w:rsidRPr="004D4BE7">
        <w:rPr>
          <w:sz w:val="21"/>
          <w:lang w:val="ru-RU"/>
        </w:rPr>
        <w:t>, Ноттингем, Великобритания.</w:t>
      </w:r>
    </w:p>
    <w:p w14:paraId="57287774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 xml:space="preserve">6. Колледж образования, психологии и социальной работы, Университет </w:t>
      </w:r>
      <w:proofErr w:type="spellStart"/>
      <w:r w:rsidRPr="004D4BE7">
        <w:rPr>
          <w:sz w:val="21"/>
          <w:lang w:val="ru-RU"/>
        </w:rPr>
        <w:t>Флиндерса</w:t>
      </w:r>
      <w:proofErr w:type="spellEnd"/>
      <w:r w:rsidRPr="004D4BE7">
        <w:rPr>
          <w:sz w:val="21"/>
          <w:lang w:val="ru-RU"/>
        </w:rPr>
        <w:t>, Аделаида, Австралия.</w:t>
      </w:r>
    </w:p>
    <w:p w14:paraId="467B7DDF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1"/>
          <w:lang w:val="ru-RU"/>
        </w:rPr>
        <w:t xml:space="preserve">7. Кафедра психиатрии, Муниципальная больница </w:t>
      </w:r>
      <w:proofErr w:type="spellStart"/>
      <w:r w:rsidRPr="004D4BE7">
        <w:rPr>
          <w:sz w:val="21"/>
          <w:lang w:val="ru-RU"/>
        </w:rPr>
        <w:t>Сяоган</w:t>
      </w:r>
      <w:proofErr w:type="spellEnd"/>
      <w:r w:rsidRPr="004D4BE7">
        <w:rPr>
          <w:sz w:val="21"/>
          <w:lang w:val="ru-RU"/>
        </w:rPr>
        <w:t xml:space="preserve"> </w:t>
      </w:r>
      <w:proofErr w:type="spellStart"/>
      <w:r w:rsidRPr="004D4BE7">
        <w:rPr>
          <w:sz w:val="21"/>
          <w:lang w:val="ru-RU"/>
        </w:rPr>
        <w:t>Гаосюнского</w:t>
      </w:r>
      <w:proofErr w:type="spellEnd"/>
      <w:r w:rsidRPr="004D4BE7">
        <w:rPr>
          <w:sz w:val="21"/>
          <w:lang w:val="ru-RU"/>
        </w:rPr>
        <w:t xml:space="preserve"> медицинского университета, </w:t>
      </w:r>
      <w:proofErr w:type="spellStart"/>
      <w:r w:rsidRPr="004D4BE7">
        <w:rPr>
          <w:sz w:val="21"/>
          <w:lang w:val="ru-RU"/>
        </w:rPr>
        <w:t>Гаосюнский</w:t>
      </w:r>
      <w:proofErr w:type="spellEnd"/>
      <w:r w:rsidRPr="004D4BE7">
        <w:rPr>
          <w:sz w:val="21"/>
          <w:lang w:val="ru-RU"/>
        </w:rPr>
        <w:t xml:space="preserve"> медицинский университет, г. Гаосюн, Тайвань.</w:t>
      </w:r>
    </w:p>
    <w:p w14:paraId="0A98C0F6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Аннотация</w:t>
      </w:r>
    </w:p>
    <w:p w14:paraId="212F54E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Введение и цели. Авторы настоящего исследования стремились выяснить, чаще ли ранее описанная психиатрическая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интернет-игрового расстройства (</w:t>
      </w:r>
      <w:r>
        <w:t>IGD</w:t>
      </w:r>
      <w:r w:rsidRPr="004D4BE7">
        <w:rPr>
          <w:lang w:val="ru-RU"/>
        </w:rPr>
        <w:t xml:space="preserve">) по критериям </w:t>
      </w:r>
      <w:r>
        <w:t>DSM</w:t>
      </w:r>
      <w:r w:rsidRPr="004D4BE7">
        <w:rPr>
          <w:lang w:val="ru-RU"/>
        </w:rPr>
        <w:t>-5 встречается также у лиц с игровым расстройством (</w:t>
      </w:r>
      <w:r>
        <w:t>GD</w:t>
      </w:r>
      <w:r w:rsidRPr="004D4BE7">
        <w:rPr>
          <w:lang w:val="ru-RU"/>
        </w:rPr>
        <w:t>) или опасным геймингом (</w:t>
      </w:r>
      <w:r>
        <w:t>HG</w:t>
      </w:r>
      <w:r w:rsidRPr="004D4BE7">
        <w:rPr>
          <w:lang w:val="ru-RU"/>
        </w:rPr>
        <w:t xml:space="preserve">) по критериям </w:t>
      </w:r>
      <w:r>
        <w:t>ICD</w:t>
      </w:r>
      <w:r w:rsidRPr="004D4BE7">
        <w:rPr>
          <w:lang w:val="ru-RU"/>
        </w:rPr>
        <w:t xml:space="preserve">-11. Поэтому в данном исследовании типа случай-контроль оценивались психиатрическая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и связанные факторы </w:t>
      </w:r>
      <w:r>
        <w:t>GD</w:t>
      </w:r>
      <w:r w:rsidRPr="004D4BE7">
        <w:rPr>
          <w:lang w:val="ru-RU"/>
        </w:rPr>
        <w:t xml:space="preserve"> и </w:t>
      </w:r>
      <w:r>
        <w:t>HG</w:t>
      </w:r>
      <w:r w:rsidRPr="004D4BE7">
        <w:rPr>
          <w:lang w:val="ru-RU"/>
        </w:rPr>
        <w:t xml:space="preserve"> на основе критериев </w:t>
      </w:r>
      <w:r>
        <w:t>ICD</w:t>
      </w:r>
      <w:r w:rsidRPr="004D4BE7">
        <w:rPr>
          <w:lang w:val="ru-RU"/>
        </w:rPr>
        <w:t>-11.</w:t>
      </w:r>
    </w:p>
    <w:p w14:paraId="2FD87929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Методы. В выборку вошли 60 человек с </w:t>
      </w:r>
      <w:r>
        <w:t>GD</w:t>
      </w:r>
      <w:r w:rsidRPr="004D4BE7">
        <w:rPr>
          <w:lang w:val="ru-RU"/>
        </w:rPr>
        <w:t xml:space="preserve">, 45 человек с </w:t>
      </w:r>
      <w:r>
        <w:t>HG</w:t>
      </w:r>
      <w:r w:rsidRPr="004D4BE7">
        <w:rPr>
          <w:lang w:val="ru-RU"/>
        </w:rPr>
        <w:t xml:space="preserve"> и 120 участников контрольной группы. Все они прошли диагностическое интервью на основе критериев </w:t>
      </w:r>
      <w:r>
        <w:t>ICD</w:t>
      </w:r>
      <w:r w:rsidRPr="004D4BE7">
        <w:rPr>
          <w:lang w:val="ru-RU"/>
        </w:rPr>
        <w:t>-11, а также обследование на синдром дефицита внимания и гиперактивности (</w:t>
      </w:r>
      <w:r>
        <w:t>ADHD</w:t>
      </w:r>
      <w:r w:rsidRPr="004D4BE7">
        <w:rPr>
          <w:lang w:val="ru-RU"/>
        </w:rPr>
        <w:t xml:space="preserve">), </w:t>
      </w:r>
      <w:r w:rsidRPr="004D4BE7">
        <w:rPr>
          <w:lang w:val="ru-RU"/>
        </w:rPr>
        <w:lastRenderedPageBreak/>
        <w:t>генерализованное тревожное расстройство (</w:t>
      </w:r>
      <w:r>
        <w:t>GAD</w:t>
      </w:r>
      <w:r w:rsidRPr="004D4BE7">
        <w:rPr>
          <w:lang w:val="ru-RU"/>
        </w:rPr>
        <w:t>), депрессивное расстройство и социальное тревожное расстройство (</w:t>
      </w:r>
      <w:r>
        <w:t>SAD</w:t>
      </w:r>
      <w:r w:rsidRPr="004D4BE7">
        <w:rPr>
          <w:lang w:val="ru-RU"/>
        </w:rPr>
        <w:t xml:space="preserve">). Участники также выполнили </w:t>
      </w:r>
      <w:r>
        <w:t>Conners</w:t>
      </w:r>
      <w:r w:rsidRPr="004D4BE7">
        <w:rPr>
          <w:lang w:val="ru-RU"/>
        </w:rPr>
        <w:t xml:space="preserve">’ </w:t>
      </w:r>
      <w:r>
        <w:t>Continuous</w:t>
      </w:r>
      <w:r w:rsidRPr="004D4BE7">
        <w:rPr>
          <w:lang w:val="ru-RU"/>
        </w:rPr>
        <w:t xml:space="preserve"> </w:t>
      </w:r>
      <w:r>
        <w:t>Performance</w:t>
      </w:r>
      <w:r w:rsidRPr="004D4BE7">
        <w:rPr>
          <w:lang w:val="ru-RU"/>
        </w:rPr>
        <w:t xml:space="preserve"> </w:t>
      </w:r>
      <w:r>
        <w:t>Test</w:t>
      </w:r>
      <w:r w:rsidRPr="004D4BE7">
        <w:rPr>
          <w:lang w:val="ru-RU"/>
        </w:rPr>
        <w:t xml:space="preserve"> (</w:t>
      </w:r>
      <w:r>
        <w:t>CCPT</w:t>
      </w:r>
      <w:r w:rsidRPr="004D4BE7">
        <w:rPr>
          <w:lang w:val="ru-RU"/>
        </w:rPr>
        <w:t xml:space="preserve">), опросник импульсивности Дикмана, </w:t>
      </w:r>
      <w:r>
        <w:t>Emotion</w:t>
      </w:r>
      <w:r w:rsidRPr="004D4BE7">
        <w:rPr>
          <w:lang w:val="ru-RU"/>
        </w:rPr>
        <w:t xml:space="preserve"> </w:t>
      </w:r>
      <w:r>
        <w:t>Regulation</w:t>
      </w:r>
      <w:r w:rsidRPr="004D4BE7">
        <w:rPr>
          <w:lang w:val="ru-RU"/>
        </w:rPr>
        <w:t xml:space="preserve"> </w:t>
      </w:r>
      <w:r>
        <w:t>Questionnaire</w:t>
      </w:r>
      <w:r w:rsidRPr="004D4BE7">
        <w:rPr>
          <w:lang w:val="ru-RU"/>
        </w:rPr>
        <w:t xml:space="preserve"> и опросник </w:t>
      </w:r>
      <w:r>
        <w:t>BIS</w:t>
      </w:r>
      <w:r w:rsidRPr="004D4BE7">
        <w:rPr>
          <w:lang w:val="ru-RU"/>
        </w:rPr>
        <w:t>/</w:t>
      </w:r>
      <w:r>
        <w:t>BAS</w:t>
      </w:r>
      <w:r w:rsidRPr="004D4BE7">
        <w:rPr>
          <w:lang w:val="ru-RU"/>
        </w:rPr>
        <w:t xml:space="preserve"> </w:t>
      </w:r>
      <w:proofErr w:type="spellStart"/>
      <w:r w:rsidRPr="004D4BE7">
        <w:rPr>
          <w:lang w:val="ru-RU"/>
        </w:rPr>
        <w:t>Карвера</w:t>
      </w:r>
      <w:proofErr w:type="spellEnd"/>
      <w:r w:rsidRPr="004D4BE7">
        <w:rPr>
          <w:lang w:val="ru-RU"/>
        </w:rPr>
        <w:t xml:space="preserve"> и Уайта.</w:t>
      </w:r>
    </w:p>
    <w:p w14:paraId="1EACD491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Результаты. </w:t>
      </w:r>
      <w:r>
        <w:t>GD</w:t>
      </w:r>
      <w:r w:rsidRPr="004D4BE7">
        <w:rPr>
          <w:lang w:val="ru-RU"/>
        </w:rPr>
        <w:t xml:space="preserve"> было связано с </w:t>
      </w:r>
      <w:r>
        <w:t>ADHD</w:t>
      </w:r>
      <w:r w:rsidRPr="004D4BE7">
        <w:rPr>
          <w:lang w:val="ru-RU"/>
        </w:rPr>
        <w:t xml:space="preserve">, депрессивным расстройством и </w:t>
      </w:r>
      <w:r>
        <w:t>GAD</w:t>
      </w:r>
      <w:r w:rsidRPr="004D4BE7">
        <w:rPr>
          <w:lang w:val="ru-RU"/>
        </w:rPr>
        <w:t xml:space="preserve">. </w:t>
      </w:r>
      <w:r>
        <w:t>ADHD</w:t>
      </w:r>
      <w:r w:rsidRPr="004D4BE7">
        <w:rPr>
          <w:lang w:val="ru-RU"/>
        </w:rPr>
        <w:t xml:space="preserve"> оказался наиболее выраженной </w:t>
      </w:r>
      <w:proofErr w:type="spellStart"/>
      <w:r w:rsidRPr="004D4BE7">
        <w:rPr>
          <w:lang w:val="ru-RU"/>
        </w:rPr>
        <w:t>коморбидностью</w:t>
      </w:r>
      <w:proofErr w:type="spellEnd"/>
      <w:r w:rsidRPr="004D4BE7">
        <w:rPr>
          <w:lang w:val="ru-RU"/>
        </w:rPr>
        <w:t xml:space="preserve">, связанной с </w:t>
      </w:r>
      <w:r>
        <w:t>HG</w:t>
      </w:r>
      <w:r w:rsidRPr="004D4BE7">
        <w:rPr>
          <w:lang w:val="ru-RU"/>
        </w:rPr>
        <w:t xml:space="preserve">. По сравнению с </w:t>
      </w:r>
      <w:r>
        <w:t>HG</w:t>
      </w:r>
      <w:r w:rsidRPr="004D4BE7">
        <w:rPr>
          <w:lang w:val="ru-RU"/>
        </w:rPr>
        <w:t xml:space="preserve"> депрессивное расстройство было теснее связано с </w:t>
      </w:r>
      <w:r>
        <w:t>GD</w:t>
      </w:r>
      <w:r w:rsidRPr="004D4BE7">
        <w:rPr>
          <w:lang w:val="ru-RU"/>
        </w:rPr>
        <w:t xml:space="preserve">. Кроме того, при более низких показателях когнитивной переоценки, более высокой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и большей импульсивности вероятность постановки диагноза </w:t>
      </w:r>
      <w:r>
        <w:t>GD</w:t>
      </w:r>
      <w:r w:rsidRPr="004D4BE7">
        <w:rPr>
          <w:lang w:val="ru-RU"/>
        </w:rPr>
        <w:t xml:space="preserve"> была выше. Более высокие показатели поиска удовольствий были связаны с большей вероятностью диагноза </w:t>
      </w:r>
      <w:r>
        <w:t>HG</w:t>
      </w:r>
      <w:r w:rsidRPr="004D4BE7">
        <w:rPr>
          <w:lang w:val="ru-RU"/>
        </w:rPr>
        <w:t>.</w:t>
      </w:r>
    </w:p>
    <w:p w14:paraId="67637AC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Заключение. В настоящем исследовании </w:t>
      </w:r>
      <w:r>
        <w:t>ADHD</w:t>
      </w:r>
      <w:r w:rsidRPr="004D4BE7">
        <w:rPr>
          <w:lang w:val="ru-RU"/>
        </w:rPr>
        <w:t xml:space="preserve"> был психиатрической </w:t>
      </w:r>
      <w:proofErr w:type="spellStart"/>
      <w:r w:rsidRPr="004D4BE7">
        <w:rPr>
          <w:lang w:val="ru-RU"/>
        </w:rPr>
        <w:t>коморбидностью</w:t>
      </w:r>
      <w:proofErr w:type="spellEnd"/>
      <w:r w:rsidRPr="004D4BE7">
        <w:rPr>
          <w:lang w:val="ru-RU"/>
        </w:rPr>
        <w:t xml:space="preserve">, наиболее тесно связанной с </w:t>
      </w:r>
      <w:r>
        <w:t>GD</w:t>
      </w:r>
      <w:r w:rsidRPr="004D4BE7">
        <w:rPr>
          <w:lang w:val="ru-RU"/>
        </w:rPr>
        <w:t xml:space="preserve">; далее следовали депрессивное расстройство и </w:t>
      </w:r>
      <w:r>
        <w:t>GAD</w:t>
      </w:r>
      <w:r w:rsidRPr="004D4BE7">
        <w:rPr>
          <w:lang w:val="ru-RU"/>
        </w:rPr>
        <w:t xml:space="preserve">, что соответствует ранее полученным данным для </w:t>
      </w:r>
      <w:r>
        <w:t>IGD</w:t>
      </w:r>
      <w:r w:rsidRPr="004D4BE7">
        <w:rPr>
          <w:lang w:val="ru-RU"/>
        </w:rPr>
        <w:t xml:space="preserve">. </w:t>
      </w:r>
      <w:r>
        <w:t>ADHD</w:t>
      </w:r>
      <w:r w:rsidRPr="004D4BE7">
        <w:rPr>
          <w:lang w:val="ru-RU"/>
        </w:rPr>
        <w:t xml:space="preserve"> также был связан с </w:t>
      </w:r>
      <w:r>
        <w:t>HG</w:t>
      </w:r>
      <w:r w:rsidRPr="004D4BE7">
        <w:rPr>
          <w:lang w:val="ru-RU"/>
        </w:rPr>
        <w:t xml:space="preserve">. Депрессивное расстройство было теснее связано с </w:t>
      </w:r>
      <w:r>
        <w:t>GD</w:t>
      </w:r>
      <w:r w:rsidRPr="004D4BE7">
        <w:rPr>
          <w:lang w:val="ru-RU"/>
        </w:rPr>
        <w:t xml:space="preserve">, чем с </w:t>
      </w:r>
      <w:r>
        <w:t>HG</w:t>
      </w:r>
      <w:r w:rsidRPr="004D4BE7">
        <w:rPr>
          <w:lang w:val="ru-RU"/>
        </w:rPr>
        <w:t xml:space="preserve">. Вмешательства при </w:t>
      </w:r>
      <w:r>
        <w:t>HG</w:t>
      </w:r>
      <w:r w:rsidRPr="004D4BE7">
        <w:rPr>
          <w:lang w:val="ru-RU"/>
        </w:rPr>
        <w:t xml:space="preserve"> и </w:t>
      </w:r>
      <w:r>
        <w:t>GD</w:t>
      </w:r>
      <w:r w:rsidRPr="004D4BE7">
        <w:rPr>
          <w:lang w:val="ru-RU"/>
        </w:rPr>
        <w:t xml:space="preserve"> следует подбирать с учетом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пациентов, а также их навыков когнитивной переоценки, уровня импульсивности,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и поиска удовольствий.</w:t>
      </w:r>
    </w:p>
    <w:p w14:paraId="6E69A4F7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Ключевые слова. игровое расстройство, опасный гейминг, диагностика по </w:t>
      </w:r>
      <w:r>
        <w:t>ICD</w:t>
      </w:r>
      <w:r w:rsidRPr="004D4BE7">
        <w:rPr>
          <w:lang w:val="ru-RU"/>
        </w:rPr>
        <w:t xml:space="preserve">-11,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, </w:t>
      </w:r>
      <w:r>
        <w:t>ADHD</w:t>
      </w:r>
    </w:p>
    <w:p w14:paraId="65EA89EB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Введение</w:t>
      </w:r>
    </w:p>
    <w:p w14:paraId="71B9F5AD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>Пятое издание «Диагностического и статистического руководства по психическим расстройствам» (</w:t>
      </w:r>
      <w:r>
        <w:t>DSM</w:t>
      </w:r>
      <w:r w:rsidRPr="004D4BE7">
        <w:rPr>
          <w:lang w:val="ru-RU"/>
        </w:rPr>
        <w:t xml:space="preserve">-5; </w:t>
      </w:r>
      <w:r>
        <w:t>American</w:t>
      </w:r>
      <w:r w:rsidRPr="004D4BE7">
        <w:rPr>
          <w:lang w:val="ru-RU"/>
        </w:rPr>
        <w:t xml:space="preserve"> </w:t>
      </w:r>
      <w:r>
        <w:t>Psychiatric</w:t>
      </w:r>
      <w:r w:rsidRPr="004D4BE7">
        <w:rPr>
          <w:lang w:val="ru-RU"/>
        </w:rPr>
        <w:t xml:space="preserve"> </w:t>
      </w:r>
      <w:r>
        <w:t>Association</w:t>
      </w:r>
      <w:r w:rsidRPr="004D4BE7">
        <w:rPr>
          <w:lang w:val="ru-RU"/>
        </w:rPr>
        <w:t xml:space="preserve"> [</w:t>
      </w:r>
      <w:r>
        <w:t>APA</w:t>
      </w:r>
      <w:r w:rsidRPr="004D4BE7">
        <w:rPr>
          <w:lang w:val="ru-RU"/>
        </w:rPr>
        <w:t>], 2013) включило интернет-игровое расстройство (</w:t>
      </w:r>
      <w:r>
        <w:t>IGD</w:t>
      </w:r>
      <w:r w:rsidRPr="004D4BE7">
        <w:rPr>
          <w:lang w:val="ru-RU"/>
        </w:rPr>
        <w:t>) как предварительно выделяемое расстройство ввиду его негативных последствий для психического здоровья. В 11-м пересмотре Международной классификации болезней (</w:t>
      </w:r>
      <w:r>
        <w:t>ICD</w:t>
      </w:r>
      <w:r w:rsidRPr="004D4BE7">
        <w:rPr>
          <w:lang w:val="ru-RU"/>
        </w:rPr>
        <w:t xml:space="preserve">-11; </w:t>
      </w:r>
      <w:r>
        <w:t>World</w:t>
      </w:r>
      <w:r w:rsidRPr="004D4BE7">
        <w:rPr>
          <w:lang w:val="ru-RU"/>
        </w:rPr>
        <w:t xml:space="preserve"> </w:t>
      </w:r>
      <w:r>
        <w:t>Health</w:t>
      </w:r>
      <w:r w:rsidRPr="004D4BE7">
        <w:rPr>
          <w:lang w:val="ru-RU"/>
        </w:rPr>
        <w:t xml:space="preserve"> </w:t>
      </w:r>
      <w:r>
        <w:t>Organization</w:t>
      </w:r>
      <w:r w:rsidRPr="004D4BE7">
        <w:rPr>
          <w:lang w:val="ru-RU"/>
        </w:rPr>
        <w:t xml:space="preserve"> [</w:t>
      </w:r>
      <w:r>
        <w:t>WHO</w:t>
      </w:r>
      <w:r w:rsidRPr="004D4BE7">
        <w:rPr>
          <w:lang w:val="ru-RU"/>
        </w:rPr>
        <w:t>], 2019) игровое расстройство (</w:t>
      </w:r>
      <w:r>
        <w:t>GD</w:t>
      </w:r>
      <w:r w:rsidRPr="004D4BE7">
        <w:rPr>
          <w:lang w:val="ru-RU"/>
        </w:rPr>
        <w:t>) было официально включено в классификацию с диагностическими критериями, позволяющими выявлять лиц, нуждающихся во вмешательстве (</w:t>
      </w:r>
      <w:proofErr w:type="spellStart"/>
      <w:r>
        <w:t>Poznyak</w:t>
      </w:r>
      <w:proofErr w:type="spellEnd"/>
      <w:r w:rsidRPr="004D4BE7">
        <w:rPr>
          <w:lang w:val="ru-RU"/>
        </w:rPr>
        <w:t xml:space="preserve">, </w:t>
      </w:r>
      <w:r>
        <w:t>Reed</w:t>
      </w:r>
      <w:r w:rsidRPr="004D4BE7">
        <w:rPr>
          <w:lang w:val="ru-RU"/>
        </w:rPr>
        <w:t xml:space="preserve">, &amp; </w:t>
      </w:r>
      <w:r>
        <w:t>Medina</w:t>
      </w:r>
      <w:r w:rsidRPr="004D4BE7">
        <w:rPr>
          <w:lang w:val="ru-RU"/>
        </w:rPr>
        <w:t>-</w:t>
      </w:r>
      <w:r>
        <w:t>Mora</w:t>
      </w:r>
      <w:r w:rsidRPr="004D4BE7">
        <w:rPr>
          <w:lang w:val="ru-RU"/>
        </w:rPr>
        <w:t xml:space="preserve">, 2018). Когнитивный контроль, регуляция эмоций и чувствительность к вознаграждению рассматриваются как три ключевые области, способствующие развитию </w:t>
      </w:r>
      <w:r>
        <w:t xml:space="preserve">GD (Dong &amp; Potenza, 2014; Kuss, Pontes, &amp; Griffiths, 2018; Yen et al., 2022b). </w:t>
      </w:r>
      <w:r w:rsidRPr="004D4BE7">
        <w:rPr>
          <w:lang w:val="ru-RU"/>
        </w:rPr>
        <w:t xml:space="preserve">Кроме того, сведения о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— такой как </w:t>
      </w:r>
      <w:r>
        <w:t>ADHD</w:t>
      </w:r>
      <w:r w:rsidRPr="004D4BE7">
        <w:rPr>
          <w:lang w:val="ru-RU"/>
        </w:rPr>
        <w:t xml:space="preserve">, депрессивное расстройство и тревожные расстройства — имеют принципиальное значение для оценки и лечения </w:t>
      </w:r>
      <w:r>
        <w:t>GD</w:t>
      </w:r>
      <w:r w:rsidRPr="004D4BE7">
        <w:rPr>
          <w:lang w:val="ru-RU"/>
        </w:rPr>
        <w:t xml:space="preserve"> (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2021, 2023). Однако связь между психиатрической </w:t>
      </w:r>
      <w:proofErr w:type="spellStart"/>
      <w:r w:rsidRPr="004D4BE7">
        <w:rPr>
          <w:lang w:val="ru-RU"/>
        </w:rPr>
        <w:t>коморбидностью</w:t>
      </w:r>
      <w:proofErr w:type="spellEnd"/>
      <w:r w:rsidRPr="004D4BE7">
        <w:rPr>
          <w:lang w:val="ru-RU"/>
        </w:rPr>
        <w:t xml:space="preserve">, тремя указанными областями и </w:t>
      </w:r>
      <w:r>
        <w:t>GD</w:t>
      </w:r>
      <w:r w:rsidRPr="004D4BE7">
        <w:rPr>
          <w:lang w:val="ru-RU"/>
        </w:rPr>
        <w:t xml:space="preserve">/опасным геймингом по </w:t>
      </w:r>
      <w:r>
        <w:t>ICD</w:t>
      </w:r>
      <w:r w:rsidRPr="004D4BE7">
        <w:rPr>
          <w:lang w:val="ru-RU"/>
        </w:rPr>
        <w:t>-11 ранее не оценивалась.</w:t>
      </w:r>
    </w:p>
    <w:p w14:paraId="0612F0FA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 xml:space="preserve">Критерии </w:t>
      </w:r>
      <w:r>
        <w:rPr>
          <w:b/>
          <w:color w:val="373737"/>
          <w:sz w:val="26"/>
        </w:rPr>
        <w:t>ICD</w:t>
      </w:r>
      <w:r w:rsidRPr="004D4BE7">
        <w:rPr>
          <w:b/>
          <w:color w:val="373737"/>
          <w:sz w:val="26"/>
          <w:lang w:val="ru-RU"/>
        </w:rPr>
        <w:t>-11 для игрового расстройства и опасного гейминга</w:t>
      </w:r>
    </w:p>
    <w:p w14:paraId="1FB3555A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>
        <w:t>DSM</w:t>
      </w:r>
      <w:r w:rsidRPr="004D4BE7">
        <w:rPr>
          <w:lang w:val="ru-RU"/>
        </w:rPr>
        <w:t>-5 включает девять критериев интернет-игрового расстройства (</w:t>
      </w:r>
      <w:r>
        <w:t>IGD</w:t>
      </w:r>
      <w:r w:rsidRPr="004D4BE7">
        <w:rPr>
          <w:lang w:val="ru-RU"/>
        </w:rPr>
        <w:t>), и диагноз ставится лицам, у которых в течение 12 месяцев наблюдаются пять или более симптомов либо функциональное нарушение (</w:t>
      </w:r>
      <w:r>
        <w:t>APA</w:t>
      </w:r>
      <w:r w:rsidRPr="004D4BE7">
        <w:rPr>
          <w:lang w:val="ru-RU"/>
        </w:rPr>
        <w:t xml:space="preserve">, 2013). В </w:t>
      </w:r>
      <w:r>
        <w:t>ICD</w:t>
      </w:r>
      <w:r w:rsidRPr="004D4BE7">
        <w:rPr>
          <w:lang w:val="ru-RU"/>
        </w:rPr>
        <w:t>-11 игровое расстройство (</w:t>
      </w:r>
      <w:r>
        <w:t>GD</w:t>
      </w:r>
      <w:r w:rsidRPr="004D4BE7">
        <w:rPr>
          <w:lang w:val="ru-RU"/>
        </w:rPr>
        <w:t xml:space="preserve">) определяется как </w:t>
      </w:r>
      <w:proofErr w:type="spellStart"/>
      <w:r w:rsidRPr="004D4BE7">
        <w:rPr>
          <w:lang w:val="ru-RU"/>
        </w:rPr>
        <w:t>дисфункциональный</w:t>
      </w:r>
      <w:proofErr w:type="spellEnd"/>
      <w:r w:rsidRPr="004D4BE7">
        <w:rPr>
          <w:lang w:val="ru-RU"/>
        </w:rPr>
        <w:t xml:space="preserve"> паттерн игрового поведения, характеризующийся нарушением контроля, приоритетом игр над другими интересами и повседневной деятельностью, продолжением игры несмотря на негативные последствия и наличием функционального нарушения (</w:t>
      </w:r>
      <w:r>
        <w:t>WHO</w:t>
      </w:r>
      <w:r w:rsidRPr="004D4BE7">
        <w:rPr>
          <w:lang w:val="ru-RU"/>
        </w:rPr>
        <w:t xml:space="preserve">, 2019). Поскольку в </w:t>
      </w:r>
      <w:r>
        <w:t>ICD</w:t>
      </w:r>
      <w:r w:rsidRPr="004D4BE7">
        <w:rPr>
          <w:lang w:val="ru-RU"/>
        </w:rPr>
        <w:t xml:space="preserve">-11 должны быть выполнены </w:t>
      </w:r>
      <w:r w:rsidRPr="004D4BE7">
        <w:rPr>
          <w:lang w:val="ru-RU"/>
        </w:rPr>
        <w:lastRenderedPageBreak/>
        <w:t xml:space="preserve">все критерии, диагностический порог для </w:t>
      </w:r>
      <w:r>
        <w:t>GD</w:t>
      </w:r>
      <w:r w:rsidRPr="004D4BE7">
        <w:rPr>
          <w:lang w:val="ru-RU"/>
        </w:rPr>
        <w:t xml:space="preserve"> обычно выше, чем для </w:t>
      </w:r>
      <w:r>
        <w:t>IGD</w:t>
      </w:r>
      <w:r w:rsidRPr="004D4BE7">
        <w:rPr>
          <w:lang w:val="ru-RU"/>
        </w:rPr>
        <w:t xml:space="preserve"> по </w:t>
      </w:r>
      <w:r>
        <w:t>DSM</w:t>
      </w:r>
      <w:r w:rsidRPr="004D4BE7">
        <w:rPr>
          <w:lang w:val="ru-RU"/>
        </w:rPr>
        <w:t>-5 (</w:t>
      </w:r>
      <w:r>
        <w:t>Yen</w:t>
      </w:r>
      <w:r w:rsidRPr="004D4BE7">
        <w:rPr>
          <w:lang w:val="ru-RU"/>
        </w:rPr>
        <w:t xml:space="preserve">, </w:t>
      </w:r>
      <w:r>
        <w:t>Chou</w:t>
      </w:r>
      <w:r w:rsidRPr="004D4BE7">
        <w:rPr>
          <w:lang w:val="ru-RU"/>
        </w:rPr>
        <w:t xml:space="preserve">, </w:t>
      </w:r>
      <w:r>
        <w:t>Liao</w:t>
      </w:r>
      <w:r w:rsidRPr="004D4BE7">
        <w:rPr>
          <w:lang w:val="ru-RU"/>
        </w:rPr>
        <w:t xml:space="preserve">, &amp; </w:t>
      </w:r>
      <w:r>
        <w:t>Ko</w:t>
      </w:r>
      <w:r w:rsidRPr="004D4BE7">
        <w:rPr>
          <w:lang w:val="ru-RU"/>
        </w:rPr>
        <w:t xml:space="preserve">, 2023). Несмотря на различия между критериями </w:t>
      </w:r>
      <w:r>
        <w:t>DSM</w:t>
      </w:r>
      <w:r w:rsidRPr="004D4BE7">
        <w:rPr>
          <w:lang w:val="ru-RU"/>
        </w:rPr>
        <w:t xml:space="preserve">-5 для </w:t>
      </w:r>
      <w:r>
        <w:t>IGD</w:t>
      </w:r>
      <w:r w:rsidRPr="004D4BE7">
        <w:rPr>
          <w:lang w:val="ru-RU"/>
        </w:rPr>
        <w:t xml:space="preserve"> и критериями </w:t>
      </w:r>
      <w:r>
        <w:t>ICD</w:t>
      </w:r>
      <w:r w:rsidRPr="004D4BE7">
        <w:rPr>
          <w:lang w:val="ru-RU"/>
        </w:rPr>
        <w:t xml:space="preserve">-11 для </w:t>
      </w:r>
      <w:r>
        <w:t>GD</w:t>
      </w:r>
      <w:r w:rsidRPr="004D4BE7">
        <w:rPr>
          <w:lang w:val="ru-RU"/>
        </w:rPr>
        <w:t xml:space="preserve">, в двух исследованиях сообщалось, что диагностическая точность различения </w:t>
      </w:r>
      <w:r>
        <w:t>GD</w:t>
      </w:r>
      <w:r w:rsidRPr="004D4BE7">
        <w:rPr>
          <w:lang w:val="ru-RU"/>
        </w:rPr>
        <w:t xml:space="preserve"> и контрольной группы составляет около 90% (</w:t>
      </w:r>
      <w:r>
        <w:t>Higuchi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2022). В отличие от </w:t>
      </w:r>
      <w:r>
        <w:t>DSM</w:t>
      </w:r>
      <w:r w:rsidRPr="004D4BE7">
        <w:rPr>
          <w:lang w:val="ru-RU"/>
        </w:rPr>
        <w:t xml:space="preserve">-5, </w:t>
      </w:r>
      <w:r>
        <w:t>ICD</w:t>
      </w:r>
      <w:r w:rsidRPr="004D4BE7">
        <w:rPr>
          <w:lang w:val="ru-RU"/>
        </w:rPr>
        <w:t>-11 характеризует опасный гейминг (</w:t>
      </w:r>
      <w:r>
        <w:t>HG</w:t>
      </w:r>
      <w:r w:rsidRPr="004D4BE7">
        <w:rPr>
          <w:lang w:val="ru-RU"/>
        </w:rPr>
        <w:t xml:space="preserve">) как такой паттерн игрового поведения, который повышает риск вредных физических или психических последствий для здоровья, но не достигает критериев </w:t>
      </w:r>
      <w:r>
        <w:t>GD</w:t>
      </w:r>
      <w:r w:rsidRPr="004D4BE7">
        <w:rPr>
          <w:lang w:val="ru-RU"/>
        </w:rPr>
        <w:t xml:space="preserve">. </w:t>
      </w:r>
      <w:r>
        <w:t>HG</w:t>
      </w:r>
      <w:r w:rsidRPr="004D4BE7">
        <w:rPr>
          <w:lang w:val="ru-RU"/>
        </w:rPr>
        <w:t xml:space="preserve"> рассматривается как более ранняя стадия, способная предшествовать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Kewitz</w:t>
      </w:r>
      <w:proofErr w:type="spellEnd"/>
      <w:r w:rsidRPr="004D4BE7">
        <w:rPr>
          <w:lang w:val="ru-RU"/>
        </w:rPr>
        <w:t xml:space="preserve">, </w:t>
      </w:r>
      <w:r>
        <w:t>Leo</w:t>
      </w:r>
      <w:r w:rsidRPr="004D4BE7">
        <w:rPr>
          <w:lang w:val="ru-RU"/>
        </w:rPr>
        <w:t xml:space="preserve">, </w:t>
      </w:r>
      <w:r>
        <w:t>Rehbein</w:t>
      </w:r>
      <w:r w:rsidRPr="004D4BE7">
        <w:rPr>
          <w:lang w:val="ru-RU"/>
        </w:rPr>
        <w:t xml:space="preserve">, &amp; </w:t>
      </w:r>
      <w:r>
        <w:t>Lindenberg</w:t>
      </w:r>
      <w:r w:rsidRPr="004D4BE7">
        <w:rPr>
          <w:lang w:val="ru-RU"/>
        </w:rPr>
        <w:t xml:space="preserve">, 2023). Поэтому выявление факторов риска </w:t>
      </w:r>
      <w:r>
        <w:t>HG</w:t>
      </w:r>
      <w:r w:rsidRPr="004D4BE7">
        <w:rPr>
          <w:lang w:val="ru-RU"/>
        </w:rPr>
        <w:t xml:space="preserve"> и перехода от </w:t>
      </w:r>
      <w:r>
        <w:t>HG</w:t>
      </w:r>
      <w:r w:rsidRPr="004D4BE7">
        <w:rPr>
          <w:lang w:val="ru-RU"/>
        </w:rPr>
        <w:t xml:space="preserve"> к </w:t>
      </w:r>
      <w:r>
        <w:t>GD</w:t>
      </w:r>
      <w:r w:rsidRPr="004D4BE7">
        <w:rPr>
          <w:lang w:val="ru-RU"/>
        </w:rPr>
        <w:t xml:space="preserve"> имеет решающее значение для понимания того, что способствует неблагоприятным последствиям при </w:t>
      </w:r>
      <w:r>
        <w:t>HG</w:t>
      </w:r>
      <w:r w:rsidRPr="004D4BE7">
        <w:rPr>
          <w:lang w:val="ru-RU"/>
        </w:rPr>
        <w:t xml:space="preserve"> и утрате контроля над игрой при </w:t>
      </w:r>
      <w:r>
        <w:t>GD</w:t>
      </w:r>
      <w:r w:rsidRPr="004D4BE7">
        <w:rPr>
          <w:lang w:val="ru-RU"/>
        </w:rPr>
        <w:t xml:space="preserve">. Однако факторы, связанные с </w:t>
      </w:r>
      <w:r>
        <w:t>HG</w:t>
      </w:r>
      <w:r w:rsidRPr="004D4BE7">
        <w:rPr>
          <w:lang w:val="ru-RU"/>
        </w:rPr>
        <w:t>, ранее не изучались.</w:t>
      </w:r>
    </w:p>
    <w:p w14:paraId="3DDE2FD1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 xml:space="preserve">Психические расстройства, </w:t>
      </w:r>
      <w:proofErr w:type="spellStart"/>
      <w:r w:rsidRPr="004D4BE7">
        <w:rPr>
          <w:b/>
          <w:color w:val="373737"/>
          <w:sz w:val="26"/>
          <w:lang w:val="ru-RU"/>
        </w:rPr>
        <w:t>коморбидные</w:t>
      </w:r>
      <w:proofErr w:type="spellEnd"/>
      <w:r w:rsidRPr="004D4BE7">
        <w:rPr>
          <w:b/>
          <w:color w:val="373737"/>
          <w:sz w:val="26"/>
          <w:lang w:val="ru-RU"/>
        </w:rPr>
        <w:t xml:space="preserve"> игровому расстройству</w:t>
      </w:r>
    </w:p>
    <w:p w14:paraId="0FDD41C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Многочисленные исследования последовательно показывают более высокие показатели по шкалам психиатрической симптоматики, оценивающим депрессию, тревогу, социальную тревожность и </w:t>
      </w:r>
      <w:r>
        <w:t>ADHD</w:t>
      </w:r>
      <w:r w:rsidRPr="004D4BE7">
        <w:rPr>
          <w:lang w:val="ru-RU"/>
        </w:rPr>
        <w:t xml:space="preserve">, у лиц с </w:t>
      </w:r>
      <w:r>
        <w:t>GD</w:t>
      </w:r>
      <w:r w:rsidRPr="004D4BE7">
        <w:rPr>
          <w:lang w:val="ru-RU"/>
        </w:rPr>
        <w:t xml:space="preserve"> по сравнению с контрольной группой (</w:t>
      </w:r>
      <w:proofErr w:type="spellStart"/>
      <w:r>
        <w:t>Gonz</w:t>
      </w:r>
      <w:proofErr w:type="spellEnd"/>
      <w:r w:rsidRPr="004D4BE7">
        <w:rPr>
          <w:lang w:val="ru-RU"/>
        </w:rPr>
        <w:t>á</w:t>
      </w:r>
      <w:r>
        <w:t>lez</w:t>
      </w:r>
      <w:r w:rsidRPr="004D4BE7">
        <w:rPr>
          <w:lang w:val="ru-RU"/>
        </w:rPr>
        <w:t>-</w:t>
      </w:r>
      <w:r>
        <w:t>Bueso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2018; </w:t>
      </w:r>
      <w:r>
        <w:t>Grassi</w:t>
      </w:r>
      <w:r w:rsidRPr="004D4BE7">
        <w:rPr>
          <w:lang w:val="ru-RU"/>
        </w:rPr>
        <w:t xml:space="preserve">, </w:t>
      </w:r>
      <w:proofErr w:type="spellStart"/>
      <w:r>
        <w:t>Moradei</w:t>
      </w:r>
      <w:proofErr w:type="spellEnd"/>
      <w:r w:rsidRPr="004D4BE7">
        <w:rPr>
          <w:lang w:val="ru-RU"/>
        </w:rPr>
        <w:t xml:space="preserve">, &amp; </w:t>
      </w:r>
      <w:proofErr w:type="spellStart"/>
      <w:r>
        <w:t>Cecchelli</w:t>
      </w:r>
      <w:proofErr w:type="spellEnd"/>
      <w:r w:rsidRPr="004D4BE7">
        <w:rPr>
          <w:lang w:val="ru-RU"/>
        </w:rPr>
        <w:t xml:space="preserve">, 2024; </w:t>
      </w:r>
      <w:proofErr w:type="spellStart"/>
      <w:r>
        <w:t>Koncz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2023; </w:t>
      </w:r>
      <w:r>
        <w:t>Torres</w:t>
      </w:r>
      <w:r w:rsidRPr="004D4BE7">
        <w:rPr>
          <w:lang w:val="ru-RU"/>
        </w:rPr>
        <w:t>-</w:t>
      </w:r>
      <w:proofErr w:type="spellStart"/>
      <w:r>
        <w:t>Rodr</w:t>
      </w:r>
      <w:proofErr w:type="spellEnd"/>
      <w:r w:rsidRPr="004D4BE7">
        <w:rPr>
          <w:lang w:val="ru-RU"/>
        </w:rPr>
        <w:t>í</w:t>
      </w:r>
      <w:proofErr w:type="spellStart"/>
      <w:r>
        <w:t>guez</w:t>
      </w:r>
      <w:proofErr w:type="spellEnd"/>
      <w:r w:rsidRPr="004D4BE7">
        <w:rPr>
          <w:lang w:val="ru-RU"/>
        </w:rPr>
        <w:t xml:space="preserve">, </w:t>
      </w:r>
      <w:r>
        <w:t>Griffiths</w:t>
      </w:r>
      <w:r w:rsidRPr="004D4BE7">
        <w:rPr>
          <w:lang w:val="ru-RU"/>
        </w:rPr>
        <w:t xml:space="preserve">, </w:t>
      </w:r>
      <w:r>
        <w:t>Carbonell</w:t>
      </w:r>
      <w:r w:rsidRPr="004D4BE7">
        <w:rPr>
          <w:lang w:val="ru-RU"/>
        </w:rPr>
        <w:t xml:space="preserve">, &amp; </w:t>
      </w:r>
      <w:r>
        <w:t>Oberst</w:t>
      </w:r>
      <w:r w:rsidRPr="004D4BE7">
        <w:rPr>
          <w:lang w:val="ru-RU"/>
        </w:rPr>
        <w:t xml:space="preserve">, 2018). Однако опросные исследования не позволили окончательно установить, достигает ли выраженность этих симптомов клинической значимости. Для лиц с </w:t>
      </w:r>
      <w:r>
        <w:t>IGD</w:t>
      </w:r>
      <w:r w:rsidRPr="004D4BE7">
        <w:rPr>
          <w:lang w:val="ru-RU"/>
        </w:rPr>
        <w:t xml:space="preserve"> по критериям </w:t>
      </w:r>
      <w:r>
        <w:t>DSM</w:t>
      </w:r>
      <w:r w:rsidRPr="004D4BE7">
        <w:rPr>
          <w:lang w:val="ru-RU"/>
        </w:rPr>
        <w:t xml:space="preserve">-5 ранее были показаны более высокие уровни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с </w:t>
      </w:r>
      <w:r>
        <w:t>ADHD</w:t>
      </w:r>
      <w:r w:rsidRPr="004D4BE7">
        <w:rPr>
          <w:lang w:val="ru-RU"/>
        </w:rPr>
        <w:t xml:space="preserve"> (</w:t>
      </w:r>
      <w:r>
        <w:t>Mart</w:t>
      </w:r>
      <w:r w:rsidRPr="004D4BE7">
        <w:rPr>
          <w:lang w:val="ru-RU"/>
        </w:rPr>
        <w:t>í</w:t>
      </w:r>
      <w:r>
        <w:t>n</w:t>
      </w:r>
      <w:r w:rsidRPr="004D4BE7">
        <w:rPr>
          <w:lang w:val="ru-RU"/>
        </w:rPr>
        <w:t>-</w:t>
      </w:r>
      <w:r>
        <w:t>Fern</w:t>
      </w:r>
      <w:r w:rsidRPr="004D4BE7">
        <w:rPr>
          <w:lang w:val="ru-RU"/>
        </w:rPr>
        <w:t>á</w:t>
      </w:r>
      <w:proofErr w:type="spellStart"/>
      <w:r>
        <w:t>ndez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2016; </w:t>
      </w:r>
      <w:r>
        <w:t>Yen</w:t>
      </w:r>
      <w:r w:rsidRPr="004D4BE7">
        <w:rPr>
          <w:lang w:val="ru-RU"/>
        </w:rPr>
        <w:t xml:space="preserve">, </w:t>
      </w:r>
      <w:r>
        <w:t>Liu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2017), депрессивным расстройством (</w:t>
      </w:r>
      <w:r>
        <w:t>Mart</w:t>
      </w:r>
      <w:r w:rsidRPr="004D4BE7">
        <w:rPr>
          <w:lang w:val="ru-RU"/>
        </w:rPr>
        <w:t>í</w:t>
      </w:r>
      <w:r>
        <w:t>n</w:t>
      </w:r>
      <w:r w:rsidRPr="004D4BE7">
        <w:rPr>
          <w:lang w:val="ru-RU"/>
        </w:rPr>
        <w:t>-</w:t>
      </w:r>
      <w:r>
        <w:t>Fern</w:t>
      </w:r>
      <w:r w:rsidRPr="004D4BE7">
        <w:rPr>
          <w:lang w:val="ru-RU"/>
        </w:rPr>
        <w:t>á</w:t>
      </w:r>
      <w:proofErr w:type="spellStart"/>
      <w:r>
        <w:t>ndez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2016), социальным тревожным расстройством (</w:t>
      </w:r>
      <w:r>
        <w:t>SAD</w:t>
      </w:r>
      <w:r w:rsidRPr="004D4BE7">
        <w:rPr>
          <w:lang w:val="ru-RU"/>
        </w:rPr>
        <w:t xml:space="preserve">; 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2021) и генерализованным тревожным расстройством (</w:t>
      </w:r>
      <w:r>
        <w:t>GAD</w:t>
      </w:r>
      <w:r w:rsidRPr="004D4BE7">
        <w:rPr>
          <w:lang w:val="ru-RU"/>
        </w:rPr>
        <w:t xml:space="preserve">; </w:t>
      </w:r>
      <w:r>
        <w:t>Wang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2017), установленными на основе психиатрической диагностики. Эти данные подтверждают связь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с </w:t>
      </w:r>
      <w:r>
        <w:t>IGD</w:t>
      </w:r>
      <w:r w:rsidRPr="004D4BE7">
        <w:rPr>
          <w:lang w:val="ru-RU"/>
        </w:rPr>
        <w:t>.</w:t>
      </w:r>
    </w:p>
    <w:p w14:paraId="3630B1B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 </w:t>
      </w:r>
      <w:r>
        <w:t>DSM</w:t>
      </w:r>
      <w:r w:rsidRPr="004D4BE7">
        <w:rPr>
          <w:lang w:val="ru-RU"/>
        </w:rPr>
        <w:t xml:space="preserve">-5 </w:t>
      </w:r>
      <w:r>
        <w:t>IGD</w:t>
      </w:r>
      <w:r w:rsidRPr="004D4BE7">
        <w:rPr>
          <w:lang w:val="ru-RU"/>
        </w:rPr>
        <w:t xml:space="preserve"> специфицируется как легкое, умеренное или тяжелое в зависимости от того, насколько сильно оно нарушает повседневную жизнь (</w:t>
      </w:r>
      <w:r>
        <w:t>APA</w:t>
      </w:r>
      <w:r w:rsidRPr="004D4BE7">
        <w:rPr>
          <w:lang w:val="ru-RU"/>
        </w:rPr>
        <w:t xml:space="preserve">, 2013). В </w:t>
      </w:r>
      <w:r>
        <w:t>ICD</w:t>
      </w:r>
      <w:r w:rsidRPr="004D4BE7">
        <w:rPr>
          <w:lang w:val="ru-RU"/>
        </w:rPr>
        <w:t xml:space="preserve">-11 </w:t>
      </w:r>
      <w:r>
        <w:t>GD</w:t>
      </w:r>
      <w:r w:rsidRPr="004D4BE7">
        <w:rPr>
          <w:lang w:val="ru-RU"/>
        </w:rPr>
        <w:t xml:space="preserve"> и опасный гейминг различаются по степени тяжести и выраженности функционального нарушения (</w:t>
      </w:r>
      <w:r>
        <w:t>WHO</w:t>
      </w:r>
      <w:r w:rsidRPr="004D4BE7">
        <w:rPr>
          <w:lang w:val="ru-RU"/>
        </w:rPr>
        <w:t xml:space="preserve">, 2019). </w:t>
      </w:r>
      <w:proofErr w:type="spellStart"/>
      <w:r>
        <w:t>Gonz</w:t>
      </w:r>
      <w:proofErr w:type="spellEnd"/>
      <w:r w:rsidRPr="004D4BE7">
        <w:rPr>
          <w:lang w:val="ru-RU"/>
        </w:rPr>
        <w:t>á</w:t>
      </w:r>
      <w:r>
        <w:t>lez</w:t>
      </w:r>
      <w:r w:rsidRPr="004D4BE7">
        <w:rPr>
          <w:lang w:val="ru-RU"/>
        </w:rPr>
        <w:t>-</w:t>
      </w:r>
      <w:r>
        <w:t>Bueso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 (2020) классифицировали клинических пациентов, получавших лечение по поводу </w:t>
      </w:r>
      <w:r>
        <w:t>IGD</w:t>
      </w:r>
      <w:r w:rsidRPr="004D4BE7">
        <w:rPr>
          <w:lang w:val="ru-RU"/>
        </w:rPr>
        <w:t xml:space="preserve"> (</w:t>
      </w:r>
      <w:r>
        <w:t>N</w:t>
      </w:r>
      <w:r w:rsidRPr="004D4BE7">
        <w:rPr>
          <w:lang w:val="ru-RU"/>
        </w:rPr>
        <w:t xml:space="preserve"> = 66), с помощью кластерного анализа. Их результаты показали наличие 24 участников с «высоким уровнем </w:t>
      </w:r>
      <w:proofErr w:type="spellStart"/>
      <w:r w:rsidRPr="004D4BE7">
        <w:rPr>
          <w:lang w:val="ru-RU"/>
        </w:rPr>
        <w:t>коморбидной</w:t>
      </w:r>
      <w:proofErr w:type="spellEnd"/>
      <w:r w:rsidRPr="004D4BE7">
        <w:rPr>
          <w:lang w:val="ru-RU"/>
        </w:rPr>
        <w:t xml:space="preserve"> симптоматики» и 42 — с «низким уровнем </w:t>
      </w:r>
      <w:proofErr w:type="spellStart"/>
      <w:r w:rsidRPr="004D4BE7">
        <w:rPr>
          <w:lang w:val="ru-RU"/>
        </w:rPr>
        <w:t>коморбидной</w:t>
      </w:r>
      <w:proofErr w:type="spellEnd"/>
      <w:r w:rsidRPr="004D4BE7">
        <w:rPr>
          <w:lang w:val="ru-RU"/>
        </w:rPr>
        <w:t xml:space="preserve"> симптоматики». Та же исследовательская группа разделила клиническую выборку на подтипы по уровню психиатрических симптомов; были выделены группы с более высоким (</w:t>
      </w:r>
      <w:r>
        <w:t>n</w:t>
      </w:r>
      <w:r w:rsidRPr="004D4BE7">
        <w:rPr>
          <w:lang w:val="ru-RU"/>
        </w:rPr>
        <w:t xml:space="preserve"> = 35) и более низким психологическим воздействием (</w:t>
      </w:r>
      <w:r>
        <w:t>n</w:t>
      </w:r>
      <w:r w:rsidRPr="004D4BE7">
        <w:rPr>
          <w:lang w:val="ru-RU"/>
        </w:rPr>
        <w:t xml:space="preserve"> = 72) (</w:t>
      </w:r>
      <w:r>
        <w:t>Granero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2021). Эти исследования позволяют предположить, что психиатрические симптомы могут быть критическим фактором, определяющим тяжесть </w:t>
      </w:r>
      <w:r>
        <w:t>IGD</w:t>
      </w:r>
      <w:r w:rsidRPr="004D4BE7">
        <w:rPr>
          <w:lang w:val="ru-RU"/>
        </w:rPr>
        <w:t xml:space="preserve">. Однако до настоящего времени у молодых взрослых не проводилось исследований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</w:t>
      </w:r>
      <w:r>
        <w:t>GD</w:t>
      </w:r>
      <w:r w:rsidRPr="004D4BE7">
        <w:rPr>
          <w:lang w:val="ru-RU"/>
        </w:rPr>
        <w:t xml:space="preserve"> или </w:t>
      </w:r>
      <w:r>
        <w:t>HG</w:t>
      </w:r>
      <w:r w:rsidRPr="004D4BE7">
        <w:rPr>
          <w:lang w:val="ru-RU"/>
        </w:rPr>
        <w:t xml:space="preserve"> по критериям </w:t>
      </w:r>
      <w:r>
        <w:t>ICD</w:t>
      </w:r>
      <w:r w:rsidRPr="004D4BE7">
        <w:rPr>
          <w:lang w:val="ru-RU"/>
        </w:rPr>
        <w:t>-11 с использованием психиатрического диагностического интервью.</w:t>
      </w:r>
    </w:p>
    <w:p w14:paraId="051E1465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>Факторы риска игрового расстройства</w:t>
      </w:r>
    </w:p>
    <w:p w14:paraId="6E011D89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Метаанализы показали, что к факторам риска </w:t>
      </w:r>
      <w:r>
        <w:t>GD</w:t>
      </w:r>
      <w:r w:rsidRPr="004D4BE7">
        <w:rPr>
          <w:lang w:val="ru-RU"/>
        </w:rPr>
        <w:t xml:space="preserve"> относятся пол, импульсивность, депрессия, тревога, стресс, время, затрачиваемое на игры, мотив ухода от реальности (то есть игра в видеоигры во избежание столкновения с повседневными проблемами и </w:t>
      </w:r>
      <w:r w:rsidRPr="004D4BE7">
        <w:rPr>
          <w:lang w:val="ru-RU"/>
        </w:rPr>
        <w:lastRenderedPageBreak/>
        <w:t>трудностями), а также низкая самооценка (</w:t>
      </w:r>
      <w:r>
        <w:t>Kir</w:t>
      </w:r>
      <w:r w:rsidRPr="004D4BE7">
        <w:rPr>
          <w:lang w:val="ru-RU"/>
        </w:rPr>
        <w:t>á</w:t>
      </w:r>
      <w:proofErr w:type="spellStart"/>
      <w:r>
        <w:t>ly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2022; </w:t>
      </w:r>
      <w:proofErr w:type="spellStart"/>
      <w:r>
        <w:t>Ropovik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2023). У лиц с </w:t>
      </w:r>
      <w:r>
        <w:t>GD</w:t>
      </w:r>
      <w:r w:rsidRPr="004D4BE7">
        <w:rPr>
          <w:lang w:val="ru-RU"/>
        </w:rPr>
        <w:t xml:space="preserve"> сообщалось о повышенной чувствительности к положительному вознаграждению, а также о дисбалансе первичных и вторичных вознаграждений (</w:t>
      </w:r>
      <w:r>
        <w:t>Wang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Zhou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2021). </w:t>
      </w:r>
      <w:proofErr w:type="spellStart"/>
      <w:r w:rsidRPr="004D4BE7">
        <w:rPr>
          <w:lang w:val="ru-RU"/>
        </w:rPr>
        <w:t>Нейровизуализационные</w:t>
      </w:r>
      <w:proofErr w:type="spellEnd"/>
      <w:r w:rsidRPr="004D4BE7">
        <w:rPr>
          <w:lang w:val="ru-RU"/>
        </w:rPr>
        <w:t xml:space="preserve"> исследования и метаанализы показали нарушения торможения реакции у лиц с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Argyriou</w:t>
      </w:r>
      <w:proofErr w:type="spellEnd"/>
      <w:r w:rsidRPr="004D4BE7">
        <w:rPr>
          <w:lang w:val="ru-RU"/>
        </w:rPr>
        <w:t xml:space="preserve">, </w:t>
      </w:r>
      <w:r>
        <w:t>Davison</w:t>
      </w:r>
      <w:r w:rsidRPr="004D4BE7">
        <w:rPr>
          <w:lang w:val="ru-RU"/>
        </w:rPr>
        <w:t xml:space="preserve">, &amp; </w:t>
      </w:r>
      <w:r>
        <w:t>Lee</w:t>
      </w:r>
      <w:r w:rsidRPr="004D4BE7">
        <w:rPr>
          <w:lang w:val="ru-RU"/>
        </w:rPr>
        <w:t xml:space="preserve">, 2017; 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2014). Эти изменения в системах вознаграждения и когнитивного контроля могут объяснять более сильное игровое влечение (</w:t>
      </w:r>
      <w:r>
        <w:t>Yen</w:t>
      </w:r>
      <w:r w:rsidRPr="004D4BE7">
        <w:rPr>
          <w:lang w:val="ru-RU"/>
        </w:rPr>
        <w:t xml:space="preserve">, </w:t>
      </w:r>
      <w:r>
        <w:t>Lin</w:t>
      </w:r>
      <w:r w:rsidRPr="004D4BE7">
        <w:rPr>
          <w:lang w:val="ru-RU"/>
        </w:rPr>
        <w:t xml:space="preserve">, </w:t>
      </w:r>
      <w:r>
        <w:t>Wu</w:t>
      </w:r>
      <w:r w:rsidRPr="004D4BE7">
        <w:rPr>
          <w:lang w:val="ru-RU"/>
        </w:rPr>
        <w:t xml:space="preserve">, &amp; </w:t>
      </w:r>
      <w:r>
        <w:t>Ko</w:t>
      </w:r>
      <w:r w:rsidRPr="004D4BE7">
        <w:rPr>
          <w:lang w:val="ru-RU"/>
        </w:rPr>
        <w:t>, 2022) и неконтролируемую игру (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2022</w:t>
      </w:r>
      <w:r>
        <w:t>a</w:t>
      </w:r>
      <w:r w:rsidRPr="004D4BE7">
        <w:rPr>
          <w:lang w:val="ru-RU"/>
        </w:rPr>
        <w:t>). Кроме того, нарушенная регуляция эмоций (</w:t>
      </w:r>
      <w:r>
        <w:t>Yen</w:t>
      </w:r>
      <w:r w:rsidRPr="004D4BE7">
        <w:rPr>
          <w:lang w:val="ru-RU"/>
        </w:rPr>
        <w:t xml:space="preserve">, </w:t>
      </w:r>
      <w:r>
        <w:t>Yeh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 и </w:t>
      </w:r>
      <w:proofErr w:type="spellStart"/>
      <w:r w:rsidRPr="004D4BE7">
        <w:rPr>
          <w:lang w:val="ru-RU"/>
        </w:rPr>
        <w:t>дисфункциональный</w:t>
      </w:r>
      <w:proofErr w:type="spellEnd"/>
      <w:r w:rsidRPr="004D4BE7">
        <w:rPr>
          <w:lang w:val="ru-RU"/>
        </w:rPr>
        <w:t xml:space="preserve"> </w:t>
      </w:r>
      <w:proofErr w:type="spellStart"/>
      <w:r w:rsidRPr="004D4BE7">
        <w:rPr>
          <w:lang w:val="ru-RU"/>
        </w:rPr>
        <w:t>копинг</w:t>
      </w:r>
      <w:proofErr w:type="spellEnd"/>
      <w:r w:rsidRPr="004D4BE7">
        <w:rPr>
          <w:lang w:val="ru-RU"/>
        </w:rPr>
        <w:t xml:space="preserve"> (</w:t>
      </w:r>
      <w:r>
        <w:t>Lin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2021) в контексте стресса могут быть связаны с подавленным настроением, когда </w:t>
      </w:r>
      <w:r>
        <w:t>GD</w:t>
      </w:r>
      <w:r w:rsidRPr="004D4BE7">
        <w:rPr>
          <w:lang w:val="ru-RU"/>
        </w:rPr>
        <w:t xml:space="preserve"> приводит к функциональным нарушениям. Во многих обзорах делается вывод, что исполнительный контроль, системы вознаграждения и регуляция эмоций представляют собой существенные области, способствующие развитию </w:t>
      </w:r>
      <w:r>
        <w:t>GD</w:t>
      </w:r>
      <w:r w:rsidRPr="004D4BE7">
        <w:rPr>
          <w:lang w:val="ru-RU"/>
        </w:rPr>
        <w:t xml:space="preserve"> (</w:t>
      </w:r>
      <w:r>
        <w:t>Dong</w:t>
      </w:r>
      <w:r w:rsidRPr="004D4BE7">
        <w:rPr>
          <w:lang w:val="ru-RU"/>
        </w:rPr>
        <w:t xml:space="preserve"> &amp; </w:t>
      </w:r>
      <w:r>
        <w:t>Potenza</w:t>
      </w:r>
      <w:r w:rsidRPr="004D4BE7">
        <w:rPr>
          <w:lang w:val="ru-RU"/>
        </w:rPr>
        <w:t xml:space="preserve">, 2014; </w:t>
      </w:r>
      <w:r>
        <w:t>Kuss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2018; </w:t>
      </w:r>
      <w:r>
        <w:t>Weinstein</w:t>
      </w:r>
      <w:r w:rsidRPr="004D4BE7">
        <w:rPr>
          <w:lang w:val="ru-RU"/>
        </w:rPr>
        <w:t xml:space="preserve"> &amp; </w:t>
      </w:r>
      <w:proofErr w:type="spellStart"/>
      <w:r>
        <w:t>Lejoyeux</w:t>
      </w:r>
      <w:proofErr w:type="spellEnd"/>
      <w:r w:rsidRPr="004D4BE7">
        <w:rPr>
          <w:lang w:val="ru-RU"/>
        </w:rPr>
        <w:t xml:space="preserve">, 2020). Однако эти три области еще не изучались одновременно в одном исследовании для сравнения их вклада. Кроме того, многомерный подход, учитывающий когнитивный контроль, регуляцию эмоций и уязвимость системы вознаграждения, может быть полезен при оказании помощи лицам с </w:t>
      </w:r>
      <w:r>
        <w:t>GD</w:t>
      </w:r>
      <w:r w:rsidRPr="004D4BE7">
        <w:rPr>
          <w:lang w:val="ru-RU"/>
        </w:rPr>
        <w:t xml:space="preserve"> (</w:t>
      </w:r>
      <w:r>
        <w:t>Ko</w:t>
      </w:r>
      <w:r w:rsidRPr="004D4BE7">
        <w:rPr>
          <w:lang w:val="ru-RU"/>
        </w:rPr>
        <w:t xml:space="preserve">, </w:t>
      </w:r>
      <w:r>
        <w:t>Kir</w:t>
      </w:r>
      <w:r w:rsidRPr="004D4BE7">
        <w:rPr>
          <w:lang w:val="ru-RU"/>
        </w:rPr>
        <w:t>á</w:t>
      </w:r>
      <w:proofErr w:type="spellStart"/>
      <w:r>
        <w:t>ly</w:t>
      </w:r>
      <w:proofErr w:type="spellEnd"/>
      <w:r w:rsidRPr="004D4BE7">
        <w:rPr>
          <w:lang w:val="ru-RU"/>
        </w:rPr>
        <w:t xml:space="preserve">, </w:t>
      </w:r>
      <w:proofErr w:type="spellStart"/>
      <w:r>
        <w:t>Demetrovics</w:t>
      </w:r>
      <w:proofErr w:type="spellEnd"/>
      <w:r w:rsidRPr="004D4BE7">
        <w:rPr>
          <w:lang w:val="ru-RU"/>
        </w:rPr>
        <w:t xml:space="preserve">, </w:t>
      </w:r>
      <w:r>
        <w:t>Chang</w:t>
      </w:r>
      <w:r w:rsidRPr="004D4BE7">
        <w:rPr>
          <w:lang w:val="ru-RU"/>
        </w:rPr>
        <w:t xml:space="preserve">, &amp; </w:t>
      </w:r>
      <w:r>
        <w:t>Yen</w:t>
      </w:r>
      <w:r w:rsidRPr="004D4BE7">
        <w:rPr>
          <w:lang w:val="ru-RU"/>
        </w:rPr>
        <w:t xml:space="preserve">, 2020; 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2023). Если же будет известно, какой фактор имеет наибольшее значение для </w:t>
      </w:r>
      <w:r>
        <w:t>HG</w:t>
      </w:r>
      <w:r w:rsidRPr="004D4BE7">
        <w:rPr>
          <w:lang w:val="ru-RU"/>
        </w:rPr>
        <w:t xml:space="preserve"> как более ранней стадии </w:t>
      </w:r>
      <w:r>
        <w:t>GD</w:t>
      </w:r>
      <w:r w:rsidRPr="004D4BE7">
        <w:rPr>
          <w:lang w:val="ru-RU"/>
        </w:rPr>
        <w:t>, можно будет обеспечить более раннее лечение, соответствующее потребностям лиц на этой стадии.</w:t>
      </w:r>
    </w:p>
    <w:p w14:paraId="3BD70F79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Поэтому целью данного исследования типа случай-контроль было выяснить, встречается ли ранее описанная психиатрическая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</w:t>
      </w:r>
      <w:r>
        <w:t>GD</w:t>
      </w:r>
      <w:r w:rsidRPr="004D4BE7">
        <w:rPr>
          <w:lang w:val="ru-RU"/>
        </w:rPr>
        <w:t xml:space="preserve"> по критериям </w:t>
      </w:r>
      <w:r>
        <w:t>DSM</w:t>
      </w:r>
      <w:r w:rsidRPr="004D4BE7">
        <w:rPr>
          <w:lang w:val="ru-RU"/>
        </w:rPr>
        <w:t xml:space="preserve">-5 чаще также у лиц с </w:t>
      </w:r>
      <w:r>
        <w:t>GD</w:t>
      </w:r>
      <w:r w:rsidRPr="004D4BE7">
        <w:rPr>
          <w:lang w:val="ru-RU"/>
        </w:rPr>
        <w:t xml:space="preserve"> или </w:t>
      </w:r>
      <w:r>
        <w:t>HG</w:t>
      </w:r>
      <w:r w:rsidRPr="004D4BE7">
        <w:rPr>
          <w:lang w:val="ru-RU"/>
        </w:rPr>
        <w:t xml:space="preserve"> по критериям </w:t>
      </w:r>
      <w:r>
        <w:t>ICD</w:t>
      </w:r>
      <w:r w:rsidRPr="004D4BE7">
        <w:rPr>
          <w:lang w:val="ru-RU"/>
        </w:rPr>
        <w:t xml:space="preserve">-11. Кроме того, оценивались ранее описанные факторы, связанные с </w:t>
      </w:r>
      <w:r>
        <w:t>GD</w:t>
      </w:r>
      <w:r w:rsidRPr="004D4BE7">
        <w:rPr>
          <w:lang w:val="ru-RU"/>
        </w:rPr>
        <w:t xml:space="preserve"> или </w:t>
      </w:r>
      <w:r>
        <w:t>HG</w:t>
      </w:r>
      <w:r w:rsidRPr="004D4BE7">
        <w:rPr>
          <w:lang w:val="ru-RU"/>
        </w:rPr>
        <w:t>. Исследование было спроектировано для оценки: (</w:t>
      </w:r>
      <w:proofErr w:type="spellStart"/>
      <w:r>
        <w:t>i</w:t>
      </w:r>
      <w:proofErr w:type="spellEnd"/>
      <w:r w:rsidRPr="004D4BE7">
        <w:rPr>
          <w:lang w:val="ru-RU"/>
        </w:rPr>
        <w:t xml:space="preserve">)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, связанной с </w:t>
      </w:r>
      <w:r>
        <w:t>GD</w:t>
      </w:r>
      <w:r w:rsidRPr="004D4BE7">
        <w:rPr>
          <w:lang w:val="ru-RU"/>
        </w:rPr>
        <w:t xml:space="preserve"> и </w:t>
      </w:r>
      <w:r>
        <w:t>HG</w:t>
      </w:r>
      <w:r w:rsidRPr="004D4BE7">
        <w:rPr>
          <w:lang w:val="ru-RU"/>
        </w:rPr>
        <w:t xml:space="preserve">, включая </w:t>
      </w:r>
      <w:r>
        <w:t>ADHD</w:t>
      </w:r>
      <w:r w:rsidRPr="004D4BE7">
        <w:rPr>
          <w:lang w:val="ru-RU"/>
        </w:rPr>
        <w:t xml:space="preserve">, депрессивное расстройство, </w:t>
      </w:r>
      <w:r>
        <w:t>GAD</w:t>
      </w:r>
      <w:r w:rsidRPr="004D4BE7">
        <w:rPr>
          <w:lang w:val="ru-RU"/>
        </w:rPr>
        <w:t xml:space="preserve"> и </w:t>
      </w:r>
      <w:r>
        <w:t>SAD</w:t>
      </w:r>
      <w:r w:rsidRPr="004D4BE7">
        <w:rPr>
          <w:lang w:val="ru-RU"/>
        </w:rPr>
        <w:t>, по сравнению с контролем; (</w:t>
      </w:r>
      <w:r>
        <w:t>ii</w:t>
      </w:r>
      <w:r w:rsidRPr="004D4BE7">
        <w:rPr>
          <w:lang w:val="ru-RU"/>
        </w:rPr>
        <w:t xml:space="preserve">) связи между когнитивной продуктивностью, импульсивностью, регуляцией эмоций и чувствительностью к подкреплению и </w:t>
      </w:r>
      <w:r>
        <w:t>GD</w:t>
      </w:r>
      <w:r w:rsidRPr="004D4BE7">
        <w:rPr>
          <w:lang w:val="ru-RU"/>
        </w:rPr>
        <w:t>/</w:t>
      </w:r>
      <w:r>
        <w:t>HG</w:t>
      </w:r>
      <w:r w:rsidRPr="004D4BE7">
        <w:rPr>
          <w:lang w:val="ru-RU"/>
        </w:rPr>
        <w:t xml:space="preserve"> по сравнению с контролем; (</w:t>
      </w:r>
      <w:r>
        <w:t>iii</w:t>
      </w:r>
      <w:r w:rsidRPr="004D4BE7">
        <w:rPr>
          <w:lang w:val="ru-RU"/>
        </w:rPr>
        <w:t xml:space="preserve">) различий в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, когнитивной продуктивности, импульсивности, регуляции эмоций и чувствительности к подкреплению между лицами с </w:t>
      </w:r>
      <w:r>
        <w:t>GD</w:t>
      </w:r>
      <w:r w:rsidRPr="004D4BE7">
        <w:rPr>
          <w:lang w:val="ru-RU"/>
        </w:rPr>
        <w:t xml:space="preserve"> и лицами с </w:t>
      </w:r>
      <w:r>
        <w:t>HG</w:t>
      </w:r>
      <w:r w:rsidRPr="004D4BE7">
        <w:rPr>
          <w:lang w:val="ru-RU"/>
        </w:rPr>
        <w:t>.</w:t>
      </w:r>
    </w:p>
    <w:p w14:paraId="447974CA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Методы</w:t>
      </w:r>
    </w:p>
    <w:p w14:paraId="02824F70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>Участники</w:t>
      </w:r>
    </w:p>
    <w:p w14:paraId="5C2E3E4C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Участников набирали через размещение объявления (см. приложение, табл. </w:t>
      </w:r>
      <w:r>
        <w:t>A</w:t>
      </w:r>
      <w:r w:rsidRPr="004D4BE7">
        <w:rPr>
          <w:lang w:val="ru-RU"/>
        </w:rPr>
        <w:t xml:space="preserve">1) на </w:t>
      </w:r>
      <w:r>
        <w:t>Professional</w:t>
      </w:r>
      <w:r w:rsidRPr="004D4BE7">
        <w:rPr>
          <w:lang w:val="ru-RU"/>
        </w:rPr>
        <w:t xml:space="preserve"> </w:t>
      </w:r>
      <w:r>
        <w:t>Technology</w:t>
      </w:r>
      <w:r w:rsidRPr="004D4BE7">
        <w:rPr>
          <w:lang w:val="ru-RU"/>
        </w:rPr>
        <w:t xml:space="preserve"> </w:t>
      </w:r>
      <w:r>
        <w:t>Temple</w:t>
      </w:r>
      <w:r w:rsidRPr="004D4BE7">
        <w:rPr>
          <w:lang w:val="ru-RU"/>
        </w:rPr>
        <w:t xml:space="preserve"> — наиболее популярной в Тайване системе электронных объявлений. Для включения в исследование типа случай-контроль подходили взрослые в возрасте от 20 до 40 лет, имеющие оконченное полное среднее образование. Психиатр определял наличие </w:t>
      </w:r>
      <w:r>
        <w:t>GD</w:t>
      </w:r>
      <w:r w:rsidRPr="004D4BE7">
        <w:rPr>
          <w:lang w:val="ru-RU"/>
        </w:rPr>
        <w:t xml:space="preserve"> (группа случаев 1) или </w:t>
      </w:r>
      <w:r>
        <w:t>HG</w:t>
      </w:r>
      <w:r w:rsidRPr="004D4BE7">
        <w:rPr>
          <w:lang w:val="ru-RU"/>
        </w:rPr>
        <w:t xml:space="preserve"> (группа случаев 2) с помощью психиатрического интервью на основе критериев </w:t>
      </w:r>
      <w:r>
        <w:t>ICD</w:t>
      </w:r>
      <w:r w:rsidRPr="004D4BE7">
        <w:rPr>
          <w:lang w:val="ru-RU"/>
        </w:rPr>
        <w:t>-11, как показано на схеме на рис. 1. Подробности диагностического интервью были описаны в предыдущем исследовании (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2022). Кроме того, китайская версия </w:t>
      </w:r>
      <w:r>
        <w:t>Mini</w:t>
      </w:r>
      <w:r w:rsidRPr="004D4BE7">
        <w:rPr>
          <w:lang w:val="ru-RU"/>
        </w:rPr>
        <w:t xml:space="preserve"> </w:t>
      </w:r>
      <w:r>
        <w:t>International</w:t>
      </w:r>
      <w:r w:rsidRPr="004D4BE7">
        <w:rPr>
          <w:lang w:val="ru-RU"/>
        </w:rPr>
        <w:t xml:space="preserve"> </w:t>
      </w:r>
      <w:r>
        <w:t>Neuropsychiatric</w:t>
      </w:r>
      <w:r w:rsidRPr="004D4BE7">
        <w:rPr>
          <w:lang w:val="ru-RU"/>
        </w:rPr>
        <w:t xml:space="preserve"> </w:t>
      </w:r>
      <w:r>
        <w:t>Interview</w:t>
      </w:r>
      <w:r w:rsidRPr="004D4BE7">
        <w:rPr>
          <w:lang w:val="ru-RU"/>
        </w:rPr>
        <w:t xml:space="preserve"> (</w:t>
      </w:r>
      <w:r>
        <w:t>Sheehan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1998) использовалась для диагностики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и исключения потенциальных участников с психотическими расстройствами, биполярным расстройством </w:t>
      </w:r>
      <w:r>
        <w:t>I</w:t>
      </w:r>
      <w:r w:rsidRPr="004D4BE7">
        <w:rPr>
          <w:lang w:val="ru-RU"/>
        </w:rPr>
        <w:t xml:space="preserve"> типа или расстройством, связанным с употреблением психоактивных </w:t>
      </w:r>
      <w:r w:rsidRPr="004D4BE7">
        <w:rPr>
          <w:lang w:val="ru-RU"/>
        </w:rPr>
        <w:lastRenderedPageBreak/>
        <w:t xml:space="preserve">веществ. Диагноз </w:t>
      </w:r>
      <w:r>
        <w:t>ADHD</w:t>
      </w:r>
      <w:r w:rsidRPr="004D4BE7">
        <w:rPr>
          <w:lang w:val="ru-RU"/>
        </w:rPr>
        <w:t xml:space="preserve"> подтверждался во время психиатрического интервью на основе критериев </w:t>
      </w:r>
      <w:r>
        <w:t>DSM</w:t>
      </w:r>
      <w:r w:rsidRPr="004D4BE7">
        <w:rPr>
          <w:lang w:val="ru-RU"/>
        </w:rPr>
        <w:t>-5. Также проводилось интервью для исключения участников с интеллектуальными нарушениями или травмами головного мозга. Продолжительность психиатрического интервью составляла от 30 до 90 минут и варьировала в зависимости от сложности состояния участника.</w:t>
      </w:r>
    </w:p>
    <w:p w14:paraId="7518D5CE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Участники были распределены в группы </w:t>
      </w:r>
      <w:r>
        <w:t>GD</w:t>
      </w:r>
      <w:r w:rsidRPr="004D4BE7">
        <w:rPr>
          <w:lang w:val="ru-RU"/>
        </w:rPr>
        <w:t xml:space="preserve">, </w:t>
      </w:r>
      <w:r>
        <w:t>HG</w:t>
      </w:r>
      <w:r w:rsidRPr="004D4BE7">
        <w:rPr>
          <w:lang w:val="ru-RU"/>
        </w:rPr>
        <w:t xml:space="preserve"> или контрольную группу в соответствии с критериями </w:t>
      </w:r>
      <w:r>
        <w:t>ICD</w:t>
      </w:r>
      <w:r w:rsidRPr="004D4BE7">
        <w:rPr>
          <w:lang w:val="ru-RU"/>
        </w:rPr>
        <w:t xml:space="preserve">-11. Для каждого участника с </w:t>
      </w:r>
      <w:r>
        <w:t>GD</w:t>
      </w:r>
      <w:r w:rsidRPr="004D4BE7">
        <w:rPr>
          <w:lang w:val="ru-RU"/>
        </w:rPr>
        <w:t xml:space="preserve"> подбирались два контроля, сопоставимые по полу и возрасту (±3 года). Лица, у которых игра сопровождалась негативными последствиями, но которые не соответствовали диагностическим критериям </w:t>
      </w:r>
      <w:r>
        <w:t>GD</w:t>
      </w:r>
      <w:r w:rsidRPr="004D4BE7">
        <w:rPr>
          <w:lang w:val="ru-RU"/>
        </w:rPr>
        <w:t xml:space="preserve">, включались в группу </w:t>
      </w:r>
      <w:r>
        <w:t>HG</w:t>
      </w:r>
      <w:r w:rsidRPr="004D4BE7">
        <w:rPr>
          <w:lang w:val="ru-RU"/>
        </w:rPr>
        <w:t>. За участие в исследовании выплачивалось вознаграждение в размере 1200 тайваньских долларов (примерно €35 или $38).</w:t>
      </w:r>
    </w:p>
    <w:p w14:paraId="54CF3BC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 группы </w:t>
      </w:r>
      <w:r>
        <w:t>GD</w:t>
      </w:r>
      <w:r w:rsidRPr="004D4BE7">
        <w:rPr>
          <w:lang w:val="ru-RU"/>
        </w:rPr>
        <w:t xml:space="preserve">, </w:t>
      </w:r>
      <w:r>
        <w:t>HG</w:t>
      </w:r>
      <w:r w:rsidRPr="004D4BE7">
        <w:rPr>
          <w:lang w:val="ru-RU"/>
        </w:rPr>
        <w:t xml:space="preserve"> и контроля вошли соответственно 60, 45 и 120 человек. Все участники предоставили письменное информированное согласие перед выполнением всех процедур исследования, как показано на рис. 1.</w:t>
      </w:r>
    </w:p>
    <w:p w14:paraId="2D34B8AD" w14:textId="77777777" w:rsidR="003A0B7E" w:rsidRPr="004D4BE7" w:rsidRDefault="00000000">
      <w:pPr>
        <w:spacing w:before="140" w:after="60"/>
        <w:rPr>
          <w:lang w:val="ru-RU"/>
        </w:rPr>
      </w:pPr>
      <w:r w:rsidRPr="004D4BE7">
        <w:rPr>
          <w:b/>
          <w:color w:val="464646"/>
          <w:lang w:val="ru-RU"/>
        </w:rPr>
        <w:t>Рис. 1. Блок-схема набора участников и хода исследования</w:t>
      </w:r>
    </w:p>
    <w:p w14:paraId="5A9DA2F5" w14:textId="77777777" w:rsidR="003A0B7E" w:rsidRPr="004D4BE7" w:rsidRDefault="00000000">
      <w:pPr>
        <w:spacing w:after="40" w:line="240" w:lineRule="auto"/>
        <w:rPr>
          <w:lang w:val="ru-RU"/>
        </w:rPr>
      </w:pPr>
      <w:r w:rsidRPr="004D4BE7">
        <w:rPr>
          <w:sz w:val="22"/>
          <w:lang w:val="ru-RU"/>
        </w:rPr>
        <w:t>Содержание схемы:</w:t>
      </w:r>
    </w:p>
    <w:p w14:paraId="6C81703C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 xml:space="preserve">1. Участников набирали по объявлению (см. дополнительную табл. </w:t>
      </w:r>
      <w:r>
        <w:rPr>
          <w:sz w:val="21"/>
        </w:rPr>
        <w:t>S</w:t>
      </w:r>
      <w:r w:rsidRPr="004D4BE7">
        <w:rPr>
          <w:sz w:val="21"/>
          <w:lang w:val="ru-RU"/>
        </w:rPr>
        <w:t xml:space="preserve">1), размещенному на </w:t>
      </w:r>
      <w:r>
        <w:rPr>
          <w:sz w:val="21"/>
        </w:rPr>
        <w:t>Professional</w:t>
      </w:r>
      <w:r w:rsidRPr="004D4BE7">
        <w:rPr>
          <w:sz w:val="21"/>
          <w:lang w:val="ru-RU"/>
        </w:rPr>
        <w:t xml:space="preserve"> </w:t>
      </w:r>
      <w:r>
        <w:rPr>
          <w:sz w:val="21"/>
        </w:rPr>
        <w:t>Technology</w:t>
      </w:r>
      <w:r w:rsidRPr="004D4BE7">
        <w:rPr>
          <w:sz w:val="21"/>
          <w:lang w:val="ru-RU"/>
        </w:rPr>
        <w:t xml:space="preserve"> </w:t>
      </w:r>
      <w:r>
        <w:rPr>
          <w:sz w:val="21"/>
        </w:rPr>
        <w:t>Temple</w:t>
      </w:r>
      <w:r w:rsidRPr="004D4BE7">
        <w:rPr>
          <w:sz w:val="21"/>
          <w:lang w:val="ru-RU"/>
        </w:rPr>
        <w:t>.</w:t>
      </w:r>
    </w:p>
    <w:p w14:paraId="3CBBA8D4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2. Научный ассистент связывался с лицами, откликнувшимися на объявление, и по телефону проверял критерии включения и исключения; соответствовавшие критериям приглашались на интервью.</w:t>
      </w:r>
    </w:p>
    <w:p w14:paraId="0648B099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 xml:space="preserve">3. Проводилось психиатрическое диагностическое интервью для подтверждения диагнозов </w:t>
      </w:r>
      <w:r>
        <w:rPr>
          <w:sz w:val="21"/>
        </w:rPr>
        <w:t>GD</w:t>
      </w:r>
      <w:r w:rsidRPr="004D4BE7">
        <w:rPr>
          <w:sz w:val="21"/>
          <w:lang w:val="ru-RU"/>
        </w:rPr>
        <w:t xml:space="preserve">, </w:t>
      </w:r>
      <w:r>
        <w:rPr>
          <w:sz w:val="21"/>
        </w:rPr>
        <w:t>HG</w:t>
      </w:r>
      <w:r w:rsidRPr="004D4BE7">
        <w:rPr>
          <w:sz w:val="21"/>
          <w:lang w:val="ru-RU"/>
        </w:rPr>
        <w:t xml:space="preserve"> и статуса контроля, оценки психиатрической </w:t>
      </w:r>
      <w:proofErr w:type="spellStart"/>
      <w:r w:rsidRPr="004D4BE7">
        <w:rPr>
          <w:sz w:val="21"/>
          <w:lang w:val="ru-RU"/>
        </w:rPr>
        <w:t>коморбидности</w:t>
      </w:r>
      <w:proofErr w:type="spellEnd"/>
      <w:r w:rsidRPr="004D4BE7">
        <w:rPr>
          <w:sz w:val="21"/>
          <w:lang w:val="ru-RU"/>
        </w:rPr>
        <w:t xml:space="preserve"> и проверки критериев исключения. Сначала набирали группу </w:t>
      </w:r>
      <w:r>
        <w:rPr>
          <w:sz w:val="21"/>
        </w:rPr>
        <w:t>GD</w:t>
      </w:r>
      <w:r w:rsidRPr="004D4BE7">
        <w:rPr>
          <w:sz w:val="21"/>
          <w:lang w:val="ru-RU"/>
        </w:rPr>
        <w:t xml:space="preserve">, затем контролей, сопоставимых по полу и возрасту. Лица с выраженными симптомами </w:t>
      </w:r>
      <w:r>
        <w:rPr>
          <w:sz w:val="21"/>
        </w:rPr>
        <w:t>GD</w:t>
      </w:r>
      <w:r w:rsidRPr="004D4BE7">
        <w:rPr>
          <w:sz w:val="21"/>
          <w:lang w:val="ru-RU"/>
        </w:rPr>
        <w:t xml:space="preserve">, не достигавшие критериев </w:t>
      </w:r>
      <w:r>
        <w:rPr>
          <w:sz w:val="21"/>
        </w:rPr>
        <w:t>ICD</w:t>
      </w:r>
      <w:r w:rsidRPr="004D4BE7">
        <w:rPr>
          <w:sz w:val="21"/>
          <w:lang w:val="ru-RU"/>
        </w:rPr>
        <w:t xml:space="preserve">-11 для </w:t>
      </w:r>
      <w:r>
        <w:rPr>
          <w:sz w:val="21"/>
        </w:rPr>
        <w:t>GD</w:t>
      </w:r>
      <w:r w:rsidRPr="004D4BE7">
        <w:rPr>
          <w:sz w:val="21"/>
          <w:lang w:val="ru-RU"/>
        </w:rPr>
        <w:t xml:space="preserve">, относились к группе </w:t>
      </w:r>
      <w:r>
        <w:rPr>
          <w:sz w:val="21"/>
        </w:rPr>
        <w:t>HG</w:t>
      </w:r>
      <w:r w:rsidRPr="004D4BE7">
        <w:rPr>
          <w:sz w:val="21"/>
          <w:lang w:val="ru-RU"/>
        </w:rPr>
        <w:t xml:space="preserve">. В итоге в группы </w:t>
      </w:r>
      <w:r>
        <w:rPr>
          <w:sz w:val="21"/>
        </w:rPr>
        <w:t>GD</w:t>
      </w:r>
      <w:r w:rsidRPr="004D4BE7">
        <w:rPr>
          <w:sz w:val="21"/>
          <w:lang w:val="ru-RU"/>
        </w:rPr>
        <w:t xml:space="preserve">, </w:t>
      </w:r>
      <w:r>
        <w:rPr>
          <w:sz w:val="21"/>
        </w:rPr>
        <w:t>HG</w:t>
      </w:r>
      <w:r w:rsidRPr="004D4BE7">
        <w:rPr>
          <w:sz w:val="21"/>
          <w:lang w:val="ru-RU"/>
        </w:rPr>
        <w:t xml:space="preserve"> и контроля были отнесены соответственно 60, 45 и 120 участников. Перед дальнейшей оценкой участники подписывали информированное согласие.</w:t>
      </w:r>
    </w:p>
    <w:p w14:paraId="2DABA06B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4. Все участники завершили опросное обследование.</w:t>
      </w:r>
    </w:p>
    <w:p w14:paraId="2C36039C" w14:textId="77777777" w:rsidR="003A0B7E" w:rsidRPr="004D4BE7" w:rsidRDefault="00000000">
      <w:pPr>
        <w:spacing w:after="80" w:line="252" w:lineRule="auto"/>
        <w:jc w:val="both"/>
        <w:rPr>
          <w:lang w:val="ru-RU"/>
        </w:rPr>
      </w:pPr>
      <w:r w:rsidRPr="004D4BE7">
        <w:rPr>
          <w:sz w:val="20"/>
          <w:lang w:val="ru-RU"/>
        </w:rPr>
        <w:t xml:space="preserve">Примечание к рисунку. Лица, не соответствовавшие критериям набора, исключались из исследования на этапе телефонного скрининга или диагностического интервью. Число людей, откликнувшихся на объявление и впоследствии исключенных, не фиксировалось. Все 60, 45 и 120 участников групп </w:t>
      </w:r>
      <w:r>
        <w:rPr>
          <w:sz w:val="20"/>
        </w:rPr>
        <w:t>GD</w:t>
      </w:r>
      <w:r w:rsidRPr="004D4BE7">
        <w:rPr>
          <w:sz w:val="20"/>
          <w:lang w:val="ru-RU"/>
        </w:rPr>
        <w:t xml:space="preserve">, </w:t>
      </w:r>
      <w:r>
        <w:rPr>
          <w:sz w:val="20"/>
        </w:rPr>
        <w:t>HG</w:t>
      </w:r>
      <w:r w:rsidRPr="004D4BE7">
        <w:rPr>
          <w:sz w:val="20"/>
          <w:lang w:val="ru-RU"/>
        </w:rPr>
        <w:t xml:space="preserve"> и контроля завершили заполнение опросников. Затем они прошли другие обследования, которые в данной статье не анализировались. </w:t>
      </w:r>
      <w:r>
        <w:rPr>
          <w:sz w:val="20"/>
        </w:rPr>
        <w:t>GD</w:t>
      </w:r>
      <w:r w:rsidRPr="004D4BE7">
        <w:rPr>
          <w:sz w:val="20"/>
          <w:lang w:val="ru-RU"/>
        </w:rPr>
        <w:t xml:space="preserve"> — игровое расстройство; </w:t>
      </w:r>
      <w:r>
        <w:rPr>
          <w:sz w:val="20"/>
        </w:rPr>
        <w:t>HG</w:t>
      </w:r>
      <w:r w:rsidRPr="004D4BE7">
        <w:rPr>
          <w:sz w:val="20"/>
          <w:lang w:val="ru-RU"/>
        </w:rPr>
        <w:t xml:space="preserve"> — опасный гейминг; </w:t>
      </w:r>
      <w:r>
        <w:rPr>
          <w:sz w:val="20"/>
        </w:rPr>
        <w:t>ICD</w:t>
      </w:r>
      <w:r w:rsidRPr="004D4BE7">
        <w:rPr>
          <w:sz w:val="20"/>
          <w:lang w:val="ru-RU"/>
        </w:rPr>
        <w:t>-11 — 11-й пересмотр Международной классификации болезней.</w:t>
      </w:r>
    </w:p>
    <w:p w14:paraId="2F35503D" w14:textId="77777777" w:rsidR="003A0B7E" w:rsidRDefault="00000000">
      <w:pPr>
        <w:spacing w:before="180" w:after="80"/>
      </w:pPr>
      <w:proofErr w:type="spellStart"/>
      <w:r>
        <w:rPr>
          <w:b/>
          <w:color w:val="373737"/>
          <w:sz w:val="26"/>
        </w:rPr>
        <w:t>Методики</w:t>
      </w:r>
      <w:proofErr w:type="spellEnd"/>
    </w:p>
    <w:p w14:paraId="2B540276" w14:textId="77777777" w:rsidR="003A0B7E" w:rsidRDefault="00000000">
      <w:pPr>
        <w:spacing w:before="140" w:after="60"/>
      </w:pPr>
      <w:r>
        <w:rPr>
          <w:b/>
          <w:color w:val="464646"/>
        </w:rPr>
        <w:t>Китайская версия Mini International Neuropsychiatric Interview (C-MINI)</w:t>
      </w:r>
    </w:p>
    <w:p w14:paraId="50EF3B96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>
        <w:t>C</w:t>
      </w:r>
      <w:r w:rsidRPr="004D4BE7">
        <w:rPr>
          <w:lang w:val="ru-RU"/>
        </w:rPr>
        <w:t>-</w:t>
      </w:r>
      <w:r>
        <w:t>MINI</w:t>
      </w:r>
      <w:r w:rsidRPr="004D4BE7">
        <w:rPr>
          <w:lang w:val="ru-RU"/>
        </w:rPr>
        <w:t xml:space="preserve"> (</w:t>
      </w:r>
      <w:r>
        <w:t>Sheehan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1998) использовалась для определения наличия у участников депрессивного расстройства, генерализованного тревожного расстройства (</w:t>
      </w:r>
      <w:r>
        <w:t>GAD</w:t>
      </w:r>
      <w:r w:rsidRPr="004D4BE7">
        <w:rPr>
          <w:lang w:val="ru-RU"/>
        </w:rPr>
        <w:t>) и/или социального тревожного расстройства (</w:t>
      </w:r>
      <w:r>
        <w:t>SAD</w:t>
      </w:r>
      <w:r w:rsidRPr="004D4BE7">
        <w:rPr>
          <w:lang w:val="ru-RU"/>
        </w:rPr>
        <w:t xml:space="preserve">), а также для исключения других психических расстройств, таких как психотические расстройства, биполярное расстройство </w:t>
      </w:r>
      <w:r>
        <w:t>I</w:t>
      </w:r>
      <w:r w:rsidRPr="004D4BE7">
        <w:rPr>
          <w:lang w:val="ru-RU"/>
        </w:rPr>
        <w:t xml:space="preserve"> типа и расстройство, связанное с употреблением психоактивных веществ. Участники с текущим депрессивным эпизодом, </w:t>
      </w:r>
      <w:proofErr w:type="spellStart"/>
      <w:r w:rsidRPr="004D4BE7">
        <w:rPr>
          <w:lang w:val="ru-RU"/>
        </w:rPr>
        <w:t>персистирующим</w:t>
      </w:r>
      <w:proofErr w:type="spellEnd"/>
      <w:r w:rsidRPr="004D4BE7">
        <w:rPr>
          <w:lang w:val="ru-RU"/>
        </w:rPr>
        <w:t xml:space="preserve"> депрессивным расстройством или депрессивным эпизодом в анамнезе относились к группе депрессивного расстройства.</w:t>
      </w:r>
    </w:p>
    <w:p w14:paraId="04CDD7B7" w14:textId="77777777" w:rsidR="003A0B7E" w:rsidRDefault="00000000">
      <w:pPr>
        <w:spacing w:before="140" w:after="60"/>
      </w:pPr>
      <w:r>
        <w:rPr>
          <w:b/>
          <w:color w:val="464646"/>
        </w:rPr>
        <w:t>Conners’ Continuous Performance Test, 3-е издание (CCPT)</w:t>
      </w:r>
    </w:p>
    <w:p w14:paraId="67D9425F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Компьютеризированный </w:t>
      </w:r>
      <w:r>
        <w:t>CCPT</w:t>
      </w:r>
      <w:r w:rsidRPr="004D4BE7">
        <w:rPr>
          <w:lang w:val="ru-RU"/>
        </w:rPr>
        <w:t xml:space="preserve">, разработанный </w:t>
      </w:r>
      <w:r>
        <w:t>Conners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 (2014), применялся для оценки проблем, связанных с вниманием и тормозным контролем, у лиц с </w:t>
      </w:r>
      <w:r>
        <w:t>ADHD</w:t>
      </w:r>
      <w:r w:rsidRPr="004D4BE7">
        <w:rPr>
          <w:lang w:val="ru-RU"/>
        </w:rPr>
        <w:t xml:space="preserve">. В </w:t>
      </w:r>
      <w:r w:rsidRPr="004D4BE7">
        <w:rPr>
          <w:lang w:val="ru-RU"/>
        </w:rPr>
        <w:lastRenderedPageBreak/>
        <w:t>настоящем исследовании участникам предлагалось как можно быстрее нажимать пробел на клавиатуре, когда на экране появлялась любая буква, кроме «</w:t>
      </w:r>
      <w:r>
        <w:t>X</w:t>
      </w:r>
      <w:r w:rsidRPr="004D4BE7">
        <w:rPr>
          <w:lang w:val="ru-RU"/>
        </w:rPr>
        <w:t>» (</w:t>
      </w:r>
      <w:r>
        <w:t>go</w:t>
      </w:r>
      <w:r w:rsidRPr="004D4BE7">
        <w:rPr>
          <w:lang w:val="ru-RU"/>
        </w:rPr>
        <w:t>-пробы), и тормозить ответ, когда предъявлялась буква «</w:t>
      </w:r>
      <w:r>
        <w:t>X</w:t>
      </w:r>
      <w:r w:rsidRPr="004D4BE7">
        <w:rPr>
          <w:lang w:val="ru-RU"/>
        </w:rPr>
        <w:t>» (</w:t>
      </w:r>
      <w:r>
        <w:t>no</w:t>
      </w:r>
      <w:r w:rsidRPr="004D4BE7">
        <w:rPr>
          <w:lang w:val="ru-RU"/>
        </w:rPr>
        <w:t>-</w:t>
      </w:r>
      <w:r>
        <w:t>go</w:t>
      </w:r>
      <w:r w:rsidRPr="004D4BE7">
        <w:rPr>
          <w:lang w:val="ru-RU"/>
        </w:rPr>
        <w:t xml:space="preserve">-пробы). </w:t>
      </w:r>
      <w:proofErr w:type="spellStart"/>
      <w:r w:rsidRPr="004D4BE7">
        <w:rPr>
          <w:lang w:val="ru-RU"/>
        </w:rPr>
        <w:t>Межстимульный</w:t>
      </w:r>
      <w:proofErr w:type="spellEnd"/>
      <w:r w:rsidRPr="004D4BE7">
        <w:rPr>
          <w:lang w:val="ru-RU"/>
        </w:rPr>
        <w:t xml:space="preserve"> интервал каждые 20 проб менялся между 1, 2 и 4 секундами. Всего было 361 проба, из них 80% — </w:t>
      </w:r>
      <w:r>
        <w:t>go</w:t>
      </w:r>
      <w:r w:rsidRPr="004D4BE7">
        <w:rPr>
          <w:lang w:val="ru-RU"/>
        </w:rPr>
        <w:t xml:space="preserve">-пробы и 20% — </w:t>
      </w:r>
      <w:r>
        <w:t>no</w:t>
      </w:r>
      <w:r w:rsidRPr="004D4BE7">
        <w:rPr>
          <w:lang w:val="ru-RU"/>
        </w:rPr>
        <w:t>-</w:t>
      </w:r>
      <w:r>
        <w:t>go</w:t>
      </w:r>
      <w:r w:rsidRPr="004D4BE7">
        <w:rPr>
          <w:lang w:val="ru-RU"/>
        </w:rPr>
        <w:t xml:space="preserve">-пробы. Оценивание в </w:t>
      </w:r>
      <w:r>
        <w:t>Conners</w:t>
      </w:r>
      <w:r w:rsidRPr="004D4BE7">
        <w:rPr>
          <w:lang w:val="ru-RU"/>
        </w:rPr>
        <w:t xml:space="preserve"> </w:t>
      </w:r>
      <w:r>
        <w:t>CPT</w:t>
      </w:r>
      <w:r w:rsidRPr="004D4BE7">
        <w:rPr>
          <w:lang w:val="ru-RU"/>
        </w:rPr>
        <w:t xml:space="preserve"> 3 основано на ошибках пропуска (пропущенные целевые стимулы), ошибках совершения (неправильные ответы на нецелевые стимулы), персеверациях (ответы, совершенные менее чем через 100 мс после предъявления стимула) и различительной способности (различение нецелевых и целевых стимулов).</w:t>
      </w:r>
    </w:p>
    <w:p w14:paraId="14D42DE0" w14:textId="77777777" w:rsidR="003A0B7E" w:rsidRPr="004D4BE7" w:rsidRDefault="00000000">
      <w:pPr>
        <w:spacing w:before="140" w:after="60"/>
        <w:rPr>
          <w:lang w:val="ru-RU"/>
        </w:rPr>
      </w:pPr>
      <w:r w:rsidRPr="004D4BE7">
        <w:rPr>
          <w:b/>
          <w:color w:val="464646"/>
          <w:lang w:val="ru-RU"/>
        </w:rPr>
        <w:t>Опросник импульсивности Дикмана</w:t>
      </w:r>
    </w:p>
    <w:p w14:paraId="2AF0AB6A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Опросник состоит из 23 пунктов с ответом «верно/неверно» и оценивает импульсивность по двум компонентам: функциональная импульсивность (11 пунктов; например, «Большую часть времени я могу очень быстро облекать свои мысли в слова») и </w:t>
      </w:r>
      <w:proofErr w:type="spellStart"/>
      <w:r w:rsidRPr="004D4BE7">
        <w:rPr>
          <w:lang w:val="ru-RU"/>
        </w:rPr>
        <w:t>дисфункциональная</w:t>
      </w:r>
      <w:proofErr w:type="spellEnd"/>
      <w:r w:rsidRPr="004D4BE7">
        <w:rPr>
          <w:lang w:val="ru-RU"/>
        </w:rPr>
        <w:t xml:space="preserve"> импульсивность (12 пунктов; например, «Я часто попадаю в неприятности, потому что действую не подумав»). Каждый пункт оценивается как «верно» или «неверно»; суммарный балл варьирует от 0 (низкий уровень) до 11 (высокий уровень) для функциональной импульсивности и от 0 до 12 — для </w:t>
      </w:r>
      <w:proofErr w:type="spellStart"/>
      <w:r w:rsidRPr="004D4BE7">
        <w:rPr>
          <w:lang w:val="ru-RU"/>
        </w:rPr>
        <w:t>дисфункциональной</w:t>
      </w:r>
      <w:proofErr w:type="spellEnd"/>
      <w:r w:rsidRPr="004D4BE7">
        <w:rPr>
          <w:lang w:val="ru-RU"/>
        </w:rPr>
        <w:t xml:space="preserve"> импульсивности. Чем выше балл, тем выше функциональная или </w:t>
      </w:r>
      <w:proofErr w:type="spellStart"/>
      <w:r w:rsidRPr="004D4BE7">
        <w:rPr>
          <w:lang w:val="ru-RU"/>
        </w:rPr>
        <w:t>дисфункциональная</w:t>
      </w:r>
      <w:proofErr w:type="spellEnd"/>
      <w:r w:rsidRPr="004D4BE7">
        <w:rPr>
          <w:lang w:val="ru-RU"/>
        </w:rPr>
        <w:t xml:space="preserve"> импульсивность. В исследовании импульсивность оценивалась по </w:t>
      </w:r>
      <w:proofErr w:type="spellStart"/>
      <w:r w:rsidRPr="004D4BE7">
        <w:rPr>
          <w:lang w:val="ru-RU"/>
        </w:rPr>
        <w:t>подшкале</w:t>
      </w:r>
      <w:proofErr w:type="spellEnd"/>
      <w:r w:rsidRPr="004D4BE7">
        <w:rPr>
          <w:lang w:val="ru-RU"/>
        </w:rPr>
        <w:t xml:space="preserve"> </w:t>
      </w:r>
      <w:proofErr w:type="spellStart"/>
      <w:r w:rsidRPr="004D4BE7">
        <w:rPr>
          <w:lang w:val="ru-RU"/>
        </w:rPr>
        <w:t>дисфункциональной</w:t>
      </w:r>
      <w:proofErr w:type="spellEnd"/>
      <w:r w:rsidRPr="004D4BE7">
        <w:rPr>
          <w:lang w:val="ru-RU"/>
        </w:rPr>
        <w:t xml:space="preserve"> импульсивности; коэффициент альфа </w:t>
      </w:r>
      <w:proofErr w:type="spellStart"/>
      <w:r w:rsidRPr="004D4BE7">
        <w:rPr>
          <w:lang w:val="ru-RU"/>
        </w:rPr>
        <w:t>Кронбаха</w:t>
      </w:r>
      <w:proofErr w:type="spellEnd"/>
      <w:r w:rsidRPr="004D4BE7">
        <w:rPr>
          <w:lang w:val="ru-RU"/>
        </w:rPr>
        <w:t xml:space="preserve"> составил 0.80.</w:t>
      </w:r>
    </w:p>
    <w:p w14:paraId="6DECCE75" w14:textId="77777777" w:rsidR="003A0B7E" w:rsidRPr="004D4BE7" w:rsidRDefault="00000000">
      <w:pPr>
        <w:spacing w:before="140" w:after="60"/>
        <w:rPr>
          <w:lang w:val="ru-RU"/>
        </w:rPr>
      </w:pPr>
      <w:r>
        <w:rPr>
          <w:b/>
          <w:color w:val="464646"/>
        </w:rPr>
        <w:t>Emotion</w:t>
      </w:r>
      <w:r w:rsidRPr="004D4BE7">
        <w:rPr>
          <w:b/>
          <w:color w:val="464646"/>
          <w:lang w:val="ru-RU"/>
        </w:rPr>
        <w:t xml:space="preserve"> </w:t>
      </w:r>
      <w:r>
        <w:rPr>
          <w:b/>
          <w:color w:val="464646"/>
        </w:rPr>
        <w:t>Regulation</w:t>
      </w:r>
      <w:r w:rsidRPr="004D4BE7">
        <w:rPr>
          <w:b/>
          <w:color w:val="464646"/>
          <w:lang w:val="ru-RU"/>
        </w:rPr>
        <w:t xml:space="preserve"> </w:t>
      </w:r>
      <w:r>
        <w:rPr>
          <w:b/>
          <w:color w:val="464646"/>
        </w:rPr>
        <w:t>Questionnaire</w:t>
      </w:r>
      <w:r w:rsidRPr="004D4BE7">
        <w:rPr>
          <w:b/>
          <w:color w:val="464646"/>
          <w:lang w:val="ru-RU"/>
        </w:rPr>
        <w:t xml:space="preserve"> (</w:t>
      </w:r>
      <w:r>
        <w:rPr>
          <w:b/>
          <w:color w:val="464646"/>
        </w:rPr>
        <w:t>ERQ</w:t>
      </w:r>
      <w:r w:rsidRPr="004D4BE7">
        <w:rPr>
          <w:b/>
          <w:color w:val="464646"/>
          <w:lang w:val="ru-RU"/>
        </w:rPr>
        <w:t>)</w:t>
      </w:r>
    </w:p>
    <w:p w14:paraId="30B94D40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>
        <w:t>ERQ</w:t>
      </w:r>
      <w:r w:rsidRPr="004D4BE7">
        <w:rPr>
          <w:lang w:val="ru-RU"/>
        </w:rPr>
        <w:t xml:space="preserve"> (</w:t>
      </w:r>
      <w:r>
        <w:t>Gross</w:t>
      </w:r>
      <w:r w:rsidRPr="004D4BE7">
        <w:rPr>
          <w:lang w:val="ru-RU"/>
        </w:rPr>
        <w:t xml:space="preserve"> &amp; </w:t>
      </w:r>
      <w:r>
        <w:t>John</w:t>
      </w:r>
      <w:r w:rsidRPr="004D4BE7">
        <w:rPr>
          <w:lang w:val="ru-RU"/>
        </w:rPr>
        <w:t xml:space="preserve">, 2003) — это шкала из 10 пунктов, предназначенная для оценки склонности человека регулировать свои эмоции по двум направлениям: когнитивная переоценка, оцениваемая по соответствующей </w:t>
      </w:r>
      <w:proofErr w:type="spellStart"/>
      <w:r w:rsidRPr="004D4BE7">
        <w:rPr>
          <w:lang w:val="ru-RU"/>
        </w:rPr>
        <w:t>подшкале</w:t>
      </w:r>
      <w:proofErr w:type="spellEnd"/>
      <w:r w:rsidRPr="004D4BE7">
        <w:rPr>
          <w:lang w:val="ru-RU"/>
        </w:rPr>
        <w:t xml:space="preserve"> (шесть пунктов; например, «Я контролирую свои эмоции, меняя то, как я думаю о ситуации, в которой нахожусь»), и экспрессивное подавление, оцениваемое по </w:t>
      </w:r>
      <w:proofErr w:type="spellStart"/>
      <w:r w:rsidRPr="004D4BE7">
        <w:rPr>
          <w:lang w:val="ru-RU"/>
        </w:rPr>
        <w:t>подшкале</w:t>
      </w:r>
      <w:proofErr w:type="spellEnd"/>
      <w:r w:rsidRPr="004D4BE7">
        <w:rPr>
          <w:lang w:val="ru-RU"/>
        </w:rPr>
        <w:t xml:space="preserve"> подавления (четыре пункта; например, «Я контролирую свои эмоции, не выражая их»). Участники отвечали по 7-балльной шкале </w:t>
      </w:r>
      <w:proofErr w:type="spellStart"/>
      <w:r w:rsidRPr="004D4BE7">
        <w:rPr>
          <w:lang w:val="ru-RU"/>
        </w:rPr>
        <w:t>Лайкерта</w:t>
      </w:r>
      <w:proofErr w:type="spellEnd"/>
      <w:r w:rsidRPr="004D4BE7">
        <w:rPr>
          <w:lang w:val="ru-RU"/>
        </w:rPr>
        <w:t xml:space="preserve"> от 1 («полностью не согласен») до 7 («полностью согласен»); суммарные баллы варьировали от 6 до 42 для </w:t>
      </w:r>
      <w:proofErr w:type="spellStart"/>
      <w:r w:rsidRPr="004D4BE7">
        <w:rPr>
          <w:lang w:val="ru-RU"/>
        </w:rPr>
        <w:t>подшкалы</w:t>
      </w:r>
      <w:proofErr w:type="spellEnd"/>
      <w:r w:rsidRPr="004D4BE7">
        <w:rPr>
          <w:lang w:val="ru-RU"/>
        </w:rPr>
        <w:t xml:space="preserve"> когнитивной переоценки и от 4 до 28 для </w:t>
      </w:r>
      <w:proofErr w:type="spellStart"/>
      <w:r w:rsidRPr="004D4BE7">
        <w:rPr>
          <w:lang w:val="ru-RU"/>
        </w:rPr>
        <w:t>подшкалы</w:t>
      </w:r>
      <w:proofErr w:type="spellEnd"/>
      <w:r w:rsidRPr="004D4BE7">
        <w:rPr>
          <w:lang w:val="ru-RU"/>
        </w:rPr>
        <w:t xml:space="preserve"> экспрессивного подавления. Более высокие значения отражали большую склонность регулировать эмоции посредством переоценки или подавления. В настоящем исследовании коэффициенты альфа </w:t>
      </w:r>
      <w:proofErr w:type="spellStart"/>
      <w:r w:rsidRPr="004D4BE7">
        <w:rPr>
          <w:lang w:val="ru-RU"/>
        </w:rPr>
        <w:t>Кронбаха</w:t>
      </w:r>
      <w:proofErr w:type="spellEnd"/>
      <w:r w:rsidRPr="004D4BE7">
        <w:rPr>
          <w:lang w:val="ru-RU"/>
        </w:rPr>
        <w:t xml:space="preserve"> для </w:t>
      </w:r>
      <w:proofErr w:type="spellStart"/>
      <w:r w:rsidRPr="004D4BE7">
        <w:rPr>
          <w:lang w:val="ru-RU"/>
        </w:rPr>
        <w:t>подшкал</w:t>
      </w:r>
      <w:proofErr w:type="spellEnd"/>
      <w:r w:rsidRPr="004D4BE7">
        <w:rPr>
          <w:lang w:val="ru-RU"/>
        </w:rPr>
        <w:t xml:space="preserve"> когнитивной переоценки и подавления составили соответственно 0.86 и 0.64.</w:t>
      </w:r>
    </w:p>
    <w:p w14:paraId="4FD5558F" w14:textId="77777777" w:rsidR="003A0B7E" w:rsidRPr="004D4BE7" w:rsidRDefault="00000000">
      <w:pPr>
        <w:spacing w:before="140" w:after="60"/>
        <w:rPr>
          <w:lang w:val="ru-RU"/>
        </w:rPr>
      </w:pPr>
      <w:r w:rsidRPr="004D4BE7">
        <w:rPr>
          <w:b/>
          <w:color w:val="464646"/>
          <w:lang w:val="ru-RU"/>
        </w:rPr>
        <w:t xml:space="preserve">Опросник </w:t>
      </w:r>
      <w:r>
        <w:rPr>
          <w:b/>
          <w:color w:val="464646"/>
        </w:rPr>
        <w:t>BIS</w:t>
      </w:r>
      <w:r w:rsidRPr="004D4BE7">
        <w:rPr>
          <w:b/>
          <w:color w:val="464646"/>
          <w:lang w:val="ru-RU"/>
        </w:rPr>
        <w:t>/</w:t>
      </w:r>
      <w:r>
        <w:rPr>
          <w:b/>
          <w:color w:val="464646"/>
        </w:rPr>
        <w:t>BAS</w:t>
      </w:r>
      <w:r w:rsidRPr="004D4BE7">
        <w:rPr>
          <w:b/>
          <w:color w:val="464646"/>
          <w:lang w:val="ru-RU"/>
        </w:rPr>
        <w:t xml:space="preserve"> </w:t>
      </w:r>
      <w:proofErr w:type="spellStart"/>
      <w:r w:rsidRPr="004D4BE7">
        <w:rPr>
          <w:b/>
          <w:color w:val="464646"/>
          <w:lang w:val="ru-RU"/>
        </w:rPr>
        <w:t>Карвера</w:t>
      </w:r>
      <w:proofErr w:type="spellEnd"/>
      <w:r w:rsidRPr="004D4BE7">
        <w:rPr>
          <w:b/>
          <w:color w:val="464646"/>
          <w:lang w:val="ru-RU"/>
        </w:rPr>
        <w:t xml:space="preserve"> и Уайта</w:t>
      </w:r>
    </w:p>
    <w:p w14:paraId="46402976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Опросник </w:t>
      </w:r>
      <w:r>
        <w:t>BIS</w:t>
      </w:r>
      <w:r w:rsidRPr="004D4BE7">
        <w:rPr>
          <w:lang w:val="ru-RU"/>
        </w:rPr>
        <w:t>/</w:t>
      </w:r>
      <w:r>
        <w:t>BAS</w:t>
      </w:r>
      <w:r w:rsidRPr="004D4BE7">
        <w:rPr>
          <w:lang w:val="ru-RU"/>
        </w:rPr>
        <w:t xml:space="preserve"> (</w:t>
      </w:r>
      <w:r>
        <w:t>Carver</w:t>
      </w:r>
      <w:r w:rsidRPr="004D4BE7">
        <w:rPr>
          <w:lang w:val="ru-RU"/>
        </w:rPr>
        <w:t xml:space="preserve"> &amp; </w:t>
      </w:r>
      <w:r>
        <w:t>White</w:t>
      </w:r>
      <w:r w:rsidRPr="004D4BE7">
        <w:rPr>
          <w:lang w:val="ru-RU"/>
        </w:rPr>
        <w:t xml:space="preserve">, 1994) использовался для оценки индивидуальных различий в чувствительности к подкреплению двух мотивационных систем, предложенных </w:t>
      </w:r>
      <w:r>
        <w:t>Gray</w:t>
      </w:r>
      <w:r w:rsidRPr="004D4BE7">
        <w:rPr>
          <w:lang w:val="ru-RU"/>
        </w:rPr>
        <w:t xml:space="preserve"> (</w:t>
      </w:r>
      <w:r>
        <w:t>Corr</w:t>
      </w:r>
      <w:r w:rsidRPr="004D4BE7">
        <w:rPr>
          <w:lang w:val="ru-RU"/>
        </w:rPr>
        <w:t xml:space="preserve">, 2004): </w:t>
      </w:r>
      <w:r>
        <w:t>BIS</w:t>
      </w:r>
      <w:r w:rsidRPr="004D4BE7">
        <w:rPr>
          <w:lang w:val="ru-RU"/>
        </w:rPr>
        <w:t xml:space="preserve"> и </w:t>
      </w:r>
      <w:r>
        <w:t>BAS</w:t>
      </w:r>
      <w:r w:rsidRPr="004D4BE7">
        <w:rPr>
          <w:lang w:val="ru-RU"/>
        </w:rPr>
        <w:t xml:space="preserve">. Шкала </w:t>
      </w:r>
      <w:r>
        <w:t>BIS</w:t>
      </w:r>
      <w:r w:rsidRPr="004D4BE7">
        <w:rPr>
          <w:lang w:val="ru-RU"/>
        </w:rPr>
        <w:t xml:space="preserve"> (семь пунктов; например, «Я беспокоюсь, что могу допустить ошибки») оценивает степень, в которой участники ожидают испытывать тревогу при столкновении с сигналами наказания, то есть </w:t>
      </w:r>
      <w:proofErr w:type="spellStart"/>
      <w:r w:rsidRPr="004D4BE7">
        <w:rPr>
          <w:lang w:val="ru-RU"/>
        </w:rPr>
        <w:t>аверсивную</w:t>
      </w:r>
      <w:proofErr w:type="spellEnd"/>
      <w:r w:rsidRPr="004D4BE7">
        <w:rPr>
          <w:lang w:val="ru-RU"/>
        </w:rPr>
        <w:t xml:space="preserve"> чувствительность. Шкала </w:t>
      </w:r>
      <w:r>
        <w:t>BAS</w:t>
      </w:r>
      <w:r w:rsidRPr="004D4BE7">
        <w:rPr>
          <w:lang w:val="ru-RU"/>
        </w:rPr>
        <w:t xml:space="preserve"> включает </w:t>
      </w:r>
      <w:proofErr w:type="spellStart"/>
      <w:r w:rsidRPr="004D4BE7">
        <w:rPr>
          <w:lang w:val="ru-RU"/>
        </w:rPr>
        <w:t>подшкалы</w:t>
      </w:r>
      <w:proofErr w:type="spellEnd"/>
      <w:r w:rsidRPr="004D4BE7">
        <w:rPr>
          <w:lang w:val="ru-RU"/>
        </w:rPr>
        <w:t xml:space="preserve"> реакции на вознаграждение (пять пунктов; например, «Меня бы взволновала победа в соревновании»), </w:t>
      </w:r>
      <w:r>
        <w:t>BAS</w:t>
      </w:r>
      <w:r w:rsidRPr="004D4BE7">
        <w:rPr>
          <w:lang w:val="ru-RU"/>
        </w:rPr>
        <w:t>-</w:t>
      </w:r>
      <w:r>
        <w:t>Drive</w:t>
      </w:r>
      <w:r w:rsidRPr="004D4BE7">
        <w:rPr>
          <w:lang w:val="ru-RU"/>
        </w:rPr>
        <w:t xml:space="preserve"> / стремление к цели (четыре пункта; например, «Я делаю все возможное, чтобы получить желаемое») и </w:t>
      </w:r>
      <w:r>
        <w:t>BAS</w:t>
      </w:r>
      <w:r w:rsidRPr="004D4BE7">
        <w:rPr>
          <w:lang w:val="ru-RU"/>
        </w:rPr>
        <w:t>-</w:t>
      </w:r>
      <w:r>
        <w:t>Fun</w:t>
      </w:r>
      <w:r w:rsidRPr="004D4BE7">
        <w:rPr>
          <w:lang w:val="ru-RU"/>
        </w:rPr>
        <w:t xml:space="preserve"> </w:t>
      </w:r>
      <w:r>
        <w:t>Seeking</w:t>
      </w:r>
      <w:r w:rsidRPr="004D4BE7">
        <w:rPr>
          <w:lang w:val="ru-RU"/>
        </w:rPr>
        <w:t xml:space="preserve"> / поиск удовольствий (четыре пункта; например, «Я жажду волнения и новых ощущений»). Эти </w:t>
      </w:r>
      <w:proofErr w:type="spellStart"/>
      <w:r w:rsidRPr="004D4BE7">
        <w:rPr>
          <w:lang w:val="ru-RU"/>
        </w:rPr>
        <w:t>подшкалы</w:t>
      </w:r>
      <w:proofErr w:type="spellEnd"/>
      <w:r w:rsidRPr="004D4BE7">
        <w:rPr>
          <w:lang w:val="ru-RU"/>
        </w:rPr>
        <w:t xml:space="preserve"> оценивают степень, в которой вознаграждение вызывает </w:t>
      </w:r>
      <w:r w:rsidRPr="004D4BE7">
        <w:rPr>
          <w:lang w:val="ru-RU"/>
        </w:rPr>
        <w:lastRenderedPageBreak/>
        <w:t xml:space="preserve">положительные эмоции, склонность человека активно стремиться к желаемым целям и тенденцию искать потенциально вознаграждающие виды активности и импульсивно включаться в них. Ответы давались по 4-балльной шкале от 1 («полностью не согласен») до 4 («полностью согласен»), а суммарные баллы составляли 4–28 для </w:t>
      </w:r>
      <w:r>
        <w:t>BIS</w:t>
      </w:r>
      <w:r w:rsidRPr="004D4BE7">
        <w:rPr>
          <w:lang w:val="ru-RU"/>
        </w:rPr>
        <w:t xml:space="preserve">, 4–20 для реакции на вознаграждение, 4–16 для стремления к цели и 4–16 для поиска удовольствий. Более высокие баллы по </w:t>
      </w:r>
      <w:r>
        <w:t>BIS</w:t>
      </w:r>
      <w:r w:rsidRPr="004D4BE7">
        <w:rPr>
          <w:lang w:val="ru-RU"/>
        </w:rPr>
        <w:t xml:space="preserve"> и </w:t>
      </w:r>
      <w:proofErr w:type="spellStart"/>
      <w:r w:rsidRPr="004D4BE7">
        <w:rPr>
          <w:lang w:val="ru-RU"/>
        </w:rPr>
        <w:t>подшкалам</w:t>
      </w:r>
      <w:proofErr w:type="spellEnd"/>
      <w:r w:rsidRPr="004D4BE7">
        <w:rPr>
          <w:lang w:val="ru-RU"/>
        </w:rPr>
        <w:t xml:space="preserve"> </w:t>
      </w:r>
      <w:r>
        <w:t>BAS</w:t>
      </w:r>
      <w:r w:rsidRPr="004D4BE7">
        <w:rPr>
          <w:lang w:val="ru-RU"/>
        </w:rPr>
        <w:t xml:space="preserve"> указывали соответственно на большую </w:t>
      </w:r>
      <w:proofErr w:type="spellStart"/>
      <w:r w:rsidRPr="004D4BE7">
        <w:rPr>
          <w:lang w:val="ru-RU"/>
        </w:rPr>
        <w:t>аверсивную</w:t>
      </w:r>
      <w:proofErr w:type="spellEnd"/>
      <w:r w:rsidRPr="004D4BE7">
        <w:rPr>
          <w:lang w:val="ru-RU"/>
        </w:rPr>
        <w:t xml:space="preserve"> чувствительность и большую чувствительность к вознаграждению. В настоящем исследовании коэффициенты альфа </w:t>
      </w:r>
      <w:proofErr w:type="spellStart"/>
      <w:r w:rsidRPr="004D4BE7">
        <w:rPr>
          <w:lang w:val="ru-RU"/>
        </w:rPr>
        <w:t>Кронбаха</w:t>
      </w:r>
      <w:proofErr w:type="spellEnd"/>
      <w:r w:rsidRPr="004D4BE7">
        <w:rPr>
          <w:lang w:val="ru-RU"/>
        </w:rPr>
        <w:t xml:space="preserve"> составили 0.76 для </w:t>
      </w:r>
      <w:r>
        <w:t>BIS</w:t>
      </w:r>
      <w:r w:rsidRPr="004D4BE7">
        <w:rPr>
          <w:lang w:val="ru-RU"/>
        </w:rPr>
        <w:t>, 0.75 для стремления к цели, 0.53 для поиска удовольствий и 0.78 для реакции на вознаграждение.</w:t>
      </w:r>
    </w:p>
    <w:p w14:paraId="26837DE5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>Статистический анализ</w:t>
      </w:r>
    </w:p>
    <w:p w14:paraId="1D816E7E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Для оценки связи между </w:t>
      </w:r>
      <w:r>
        <w:t>ADHD</w:t>
      </w:r>
      <w:r w:rsidRPr="004D4BE7">
        <w:rPr>
          <w:lang w:val="ru-RU"/>
        </w:rPr>
        <w:t xml:space="preserve">, депрессивным расстройством, </w:t>
      </w:r>
      <w:r>
        <w:t>GAD</w:t>
      </w:r>
      <w:r w:rsidRPr="004D4BE7">
        <w:rPr>
          <w:lang w:val="ru-RU"/>
        </w:rPr>
        <w:t xml:space="preserve">, </w:t>
      </w:r>
      <w:r>
        <w:t>SAD</w:t>
      </w:r>
      <w:r w:rsidRPr="004D4BE7">
        <w:rPr>
          <w:lang w:val="ru-RU"/>
        </w:rPr>
        <w:t xml:space="preserve"> и </w:t>
      </w:r>
      <w:r>
        <w:t>GD</w:t>
      </w:r>
      <w:r w:rsidRPr="004D4BE7">
        <w:rPr>
          <w:lang w:val="ru-RU"/>
        </w:rPr>
        <w:t xml:space="preserve"> использовались критерии </w:t>
      </w:r>
      <w:r>
        <w:t>χ</w:t>
      </w:r>
      <w:r w:rsidRPr="004D4BE7">
        <w:rPr>
          <w:lang w:val="ru-RU"/>
        </w:rPr>
        <w:t xml:space="preserve">². Отношения шансов для </w:t>
      </w:r>
      <w:r>
        <w:t>GD</w:t>
      </w:r>
      <w:r w:rsidRPr="004D4BE7">
        <w:rPr>
          <w:lang w:val="ru-RU"/>
        </w:rPr>
        <w:t xml:space="preserve"> по сравнению с контролем, </w:t>
      </w:r>
      <w:r>
        <w:t>HG</w:t>
      </w:r>
      <w:r w:rsidRPr="004D4BE7">
        <w:rPr>
          <w:lang w:val="ru-RU"/>
        </w:rPr>
        <w:t xml:space="preserve"> по сравнению с контролем и </w:t>
      </w:r>
      <w:r>
        <w:t>GD</w:t>
      </w:r>
      <w:r w:rsidRPr="004D4BE7">
        <w:rPr>
          <w:lang w:val="ru-RU"/>
        </w:rPr>
        <w:t xml:space="preserve"> по сравнению с </w:t>
      </w:r>
      <w:r>
        <w:t>HG</w:t>
      </w:r>
      <w:r w:rsidRPr="004D4BE7">
        <w:rPr>
          <w:lang w:val="ru-RU"/>
        </w:rPr>
        <w:t xml:space="preserve"> в отношении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оценивались с помощью логистической регрессии с поправкой на пол и возраст, чтобы минимизировать их остаточное смешивающее влияние (</w:t>
      </w:r>
      <w:r>
        <w:t>Pearce</w:t>
      </w:r>
      <w:r w:rsidRPr="004D4BE7">
        <w:rPr>
          <w:lang w:val="ru-RU"/>
        </w:rPr>
        <w:t xml:space="preserve">, 2016). Для оценки различий по возрасту, уровню образования, показателям </w:t>
      </w:r>
      <w:r>
        <w:t>CCPT</w:t>
      </w:r>
      <w:r w:rsidRPr="004D4BE7">
        <w:rPr>
          <w:lang w:val="ru-RU"/>
        </w:rPr>
        <w:t xml:space="preserve">, а также баллам по импульсивности, регуляции эмоций и чувствительности к подкреплению между группами </w:t>
      </w:r>
      <w:r>
        <w:t>GD</w:t>
      </w:r>
      <w:r w:rsidRPr="004D4BE7">
        <w:rPr>
          <w:lang w:val="ru-RU"/>
        </w:rPr>
        <w:t xml:space="preserve">, </w:t>
      </w:r>
      <w:r>
        <w:t>HG</w:t>
      </w:r>
      <w:r w:rsidRPr="004D4BE7">
        <w:rPr>
          <w:lang w:val="ru-RU"/>
        </w:rPr>
        <w:t xml:space="preserve"> и контроля при контроле пола и возраста применяли ковариационный анализ (</w:t>
      </w:r>
      <w:r>
        <w:t>ANCOVA</w:t>
      </w:r>
      <w:r w:rsidRPr="004D4BE7">
        <w:rPr>
          <w:lang w:val="ru-RU"/>
        </w:rPr>
        <w:t>) с пост-</w:t>
      </w:r>
      <w:proofErr w:type="spellStart"/>
      <w:r w:rsidRPr="004D4BE7">
        <w:rPr>
          <w:lang w:val="ru-RU"/>
        </w:rPr>
        <w:t>хок</w:t>
      </w:r>
      <w:proofErr w:type="spellEnd"/>
      <w:r w:rsidRPr="004D4BE7">
        <w:rPr>
          <w:lang w:val="ru-RU"/>
        </w:rPr>
        <w:t xml:space="preserve"> тестами </w:t>
      </w:r>
      <w:proofErr w:type="spellStart"/>
      <w:r w:rsidRPr="004D4BE7">
        <w:rPr>
          <w:lang w:val="ru-RU"/>
        </w:rPr>
        <w:t>Бонферрони</w:t>
      </w:r>
      <w:proofErr w:type="spellEnd"/>
      <w:r w:rsidRPr="004D4BE7">
        <w:rPr>
          <w:lang w:val="ru-RU"/>
        </w:rPr>
        <w:t xml:space="preserve">. Для оценки связи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или факторов риска с </w:t>
      </w:r>
      <w:r>
        <w:t>GD</w:t>
      </w:r>
      <w:r w:rsidRPr="004D4BE7">
        <w:rPr>
          <w:lang w:val="ru-RU"/>
        </w:rPr>
        <w:t xml:space="preserve"> по сравнению с контролем при контроле пола и возраста использовали логистическую регрессию методом включения (</w:t>
      </w:r>
      <w:r>
        <w:t>enter</w:t>
      </w:r>
      <w:r w:rsidRPr="004D4BE7">
        <w:rPr>
          <w:lang w:val="ru-RU"/>
        </w:rPr>
        <w:t xml:space="preserve">). Аналогичные анализы выполняли для сравнения группы </w:t>
      </w:r>
      <w:r>
        <w:t>HG</w:t>
      </w:r>
      <w:r w:rsidRPr="004D4BE7">
        <w:rPr>
          <w:lang w:val="ru-RU"/>
        </w:rPr>
        <w:t xml:space="preserve"> с контролем, а также группы </w:t>
      </w:r>
      <w:r>
        <w:t>GD</w:t>
      </w:r>
      <w:r w:rsidRPr="004D4BE7">
        <w:rPr>
          <w:lang w:val="ru-RU"/>
        </w:rPr>
        <w:t xml:space="preserve"> с </w:t>
      </w:r>
      <w:r>
        <w:t>HG</w:t>
      </w:r>
      <w:r w:rsidRPr="004D4BE7">
        <w:rPr>
          <w:lang w:val="ru-RU"/>
        </w:rPr>
        <w:t xml:space="preserve">. Во всех анализах статистически значимыми считались результаты при </w:t>
      </w:r>
      <w:r>
        <w:t>p</w:t>
      </w:r>
      <w:r w:rsidRPr="004D4BE7">
        <w:rPr>
          <w:lang w:val="ru-RU"/>
        </w:rPr>
        <w:t xml:space="preserve"> </w:t>
      </w:r>
      <w:proofErr w:type="gramStart"/>
      <w:r w:rsidRPr="004D4BE7">
        <w:rPr>
          <w:lang w:val="ru-RU"/>
        </w:rPr>
        <w:t>&lt; 0.05</w:t>
      </w:r>
      <w:proofErr w:type="gramEnd"/>
      <w:r w:rsidRPr="004D4BE7">
        <w:rPr>
          <w:lang w:val="ru-RU"/>
        </w:rPr>
        <w:t xml:space="preserve">; анализы проводились в </w:t>
      </w:r>
      <w:r>
        <w:t>IBM</w:t>
      </w:r>
      <w:r w:rsidRPr="004D4BE7">
        <w:rPr>
          <w:lang w:val="ru-RU"/>
        </w:rPr>
        <w:t xml:space="preserve"> </w:t>
      </w:r>
      <w:r>
        <w:t>SPSS</w:t>
      </w:r>
      <w:r w:rsidRPr="004D4BE7">
        <w:rPr>
          <w:lang w:val="ru-RU"/>
        </w:rPr>
        <w:t xml:space="preserve"> </w:t>
      </w:r>
      <w:r>
        <w:t>Statistics</w:t>
      </w:r>
      <w:r w:rsidRPr="004D4BE7">
        <w:rPr>
          <w:lang w:val="ru-RU"/>
        </w:rPr>
        <w:t xml:space="preserve"> (</w:t>
      </w:r>
      <w:r>
        <w:t>Version</w:t>
      </w:r>
      <w:r w:rsidRPr="004D4BE7">
        <w:rPr>
          <w:lang w:val="ru-RU"/>
        </w:rPr>
        <w:t xml:space="preserve"> 26).</w:t>
      </w:r>
    </w:p>
    <w:p w14:paraId="0978A960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Результаты</w:t>
      </w:r>
    </w:p>
    <w:p w14:paraId="750673EE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Статистически значимых различий по возрасту, полу и уровню образования между группами </w:t>
      </w:r>
      <w:r>
        <w:t>GD</w:t>
      </w:r>
      <w:r w:rsidRPr="004D4BE7">
        <w:rPr>
          <w:lang w:val="ru-RU"/>
        </w:rPr>
        <w:t xml:space="preserve">, </w:t>
      </w:r>
      <w:r>
        <w:t>HG</w:t>
      </w:r>
      <w:r w:rsidRPr="004D4BE7">
        <w:rPr>
          <w:lang w:val="ru-RU"/>
        </w:rPr>
        <w:t xml:space="preserve"> и контроля обнаружено не было (табл. 1). Женщины составляли примерно четверть группы </w:t>
      </w:r>
      <w:r>
        <w:t>GD</w:t>
      </w:r>
      <w:r w:rsidRPr="004D4BE7">
        <w:rPr>
          <w:lang w:val="ru-RU"/>
        </w:rPr>
        <w:t xml:space="preserve"> (23.3%), 31.1% группы </w:t>
      </w:r>
      <w:r>
        <w:t>HG</w:t>
      </w:r>
      <w:r w:rsidRPr="004D4BE7">
        <w:rPr>
          <w:lang w:val="ru-RU"/>
        </w:rPr>
        <w:t xml:space="preserve"> и 23.3% контрольной группы. Средний возраст составил 26.4 года в группе </w:t>
      </w:r>
      <w:r>
        <w:t>GD</w:t>
      </w:r>
      <w:r w:rsidRPr="004D4BE7">
        <w:rPr>
          <w:lang w:val="ru-RU"/>
        </w:rPr>
        <w:t xml:space="preserve">, 26.6 года в группе </w:t>
      </w:r>
      <w:r>
        <w:t>HG</w:t>
      </w:r>
      <w:r w:rsidRPr="004D4BE7">
        <w:rPr>
          <w:lang w:val="ru-RU"/>
        </w:rPr>
        <w:t xml:space="preserve"> и 27.2 года в контрольной группе.</w:t>
      </w:r>
    </w:p>
    <w:p w14:paraId="139A6A2C" w14:textId="77777777" w:rsidR="003A0B7E" w:rsidRPr="004D4BE7" w:rsidRDefault="003A0B7E">
      <w:pPr>
        <w:rPr>
          <w:lang w:val="ru-RU"/>
        </w:rPr>
        <w:sectPr w:rsidR="003A0B7E" w:rsidRPr="004D4BE7">
          <w:pgSz w:w="11906" w:h="16838"/>
          <w:pgMar w:top="1134" w:right="1247" w:bottom="1134" w:left="1247" w:header="720" w:footer="720" w:gutter="0"/>
          <w:cols w:space="720"/>
          <w:docGrid w:linePitch="360"/>
        </w:sectPr>
      </w:pPr>
    </w:p>
    <w:p w14:paraId="25E7E570" w14:textId="77777777" w:rsidR="003A0B7E" w:rsidRPr="004D4BE7" w:rsidRDefault="00000000">
      <w:pPr>
        <w:spacing w:before="160" w:after="60"/>
        <w:rPr>
          <w:lang w:val="ru-RU"/>
        </w:rPr>
      </w:pPr>
      <w:r w:rsidRPr="004D4BE7">
        <w:rPr>
          <w:b/>
          <w:sz w:val="22"/>
          <w:lang w:val="ru-RU"/>
        </w:rPr>
        <w:lastRenderedPageBreak/>
        <w:t>Таблица 1. Демографические показатели, психиатрические расстройства и факторы риска в трех группах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2268"/>
        <w:gridCol w:w="2268"/>
        <w:gridCol w:w="2268"/>
        <w:gridCol w:w="1020"/>
        <w:gridCol w:w="4932"/>
      </w:tblGrid>
      <w:tr w:rsidR="003A0B7E" w:rsidRPr="004D4BE7" w14:paraId="72F3997A" w14:textId="77777777">
        <w:trPr>
          <w:jc w:val="center"/>
        </w:trPr>
        <w:tc>
          <w:tcPr>
            <w:tcW w:w="2381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59D028" w14:textId="77777777" w:rsidR="003A0B7E" w:rsidRDefault="00000000">
            <w:pPr>
              <w:jc w:val="center"/>
            </w:pPr>
            <w:proofErr w:type="spellStart"/>
            <w:r>
              <w:rPr>
                <w:b/>
                <w:sz w:val="16"/>
              </w:rPr>
              <w:t>Переменная</w:t>
            </w:r>
            <w:proofErr w:type="spellEnd"/>
          </w:p>
        </w:tc>
        <w:tc>
          <w:tcPr>
            <w:tcW w:w="2268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935989" w14:textId="77777777" w:rsidR="003A0B7E" w:rsidRPr="004D4BE7" w:rsidRDefault="00000000">
            <w:pPr>
              <w:jc w:val="center"/>
              <w:rPr>
                <w:lang w:val="ru-RU"/>
              </w:rPr>
            </w:pPr>
            <w:r w:rsidRPr="004D4BE7">
              <w:rPr>
                <w:b/>
                <w:sz w:val="16"/>
                <w:lang w:val="ru-RU"/>
              </w:rPr>
              <w:t>Группа игрового</w:t>
            </w:r>
            <w:r w:rsidRPr="004D4BE7">
              <w:rPr>
                <w:b/>
                <w:sz w:val="16"/>
                <w:lang w:val="ru-RU"/>
              </w:rPr>
              <w:br/>
              <w:t>расстройства (</w:t>
            </w:r>
            <w:r>
              <w:rPr>
                <w:b/>
                <w:sz w:val="16"/>
              </w:rPr>
              <w:t>N</w:t>
            </w:r>
            <w:r w:rsidRPr="004D4BE7">
              <w:rPr>
                <w:b/>
                <w:sz w:val="16"/>
                <w:lang w:val="ru-RU"/>
              </w:rPr>
              <w:t xml:space="preserve"> = 60)</w:t>
            </w:r>
            <w:r w:rsidRPr="004D4BE7">
              <w:rPr>
                <w:b/>
                <w:sz w:val="16"/>
                <w:lang w:val="ru-RU"/>
              </w:rPr>
              <w:br/>
            </w:r>
            <w:r>
              <w:rPr>
                <w:b/>
                <w:sz w:val="16"/>
              </w:rPr>
              <w:t>N</w:t>
            </w:r>
            <w:r w:rsidRPr="004D4BE7">
              <w:rPr>
                <w:b/>
                <w:sz w:val="16"/>
                <w:lang w:val="ru-RU"/>
              </w:rPr>
              <w:t xml:space="preserve"> (%)/среднее (</w:t>
            </w:r>
            <w:r>
              <w:rPr>
                <w:b/>
                <w:sz w:val="16"/>
              </w:rPr>
              <w:t>SD</w:t>
            </w:r>
            <w:r w:rsidRPr="004D4BE7">
              <w:rPr>
                <w:b/>
                <w:sz w:val="16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DEAFCB" w14:textId="77777777" w:rsidR="003A0B7E" w:rsidRPr="004D4BE7" w:rsidRDefault="00000000">
            <w:pPr>
              <w:jc w:val="center"/>
              <w:rPr>
                <w:lang w:val="ru-RU"/>
              </w:rPr>
            </w:pPr>
            <w:r w:rsidRPr="004D4BE7">
              <w:rPr>
                <w:b/>
                <w:sz w:val="16"/>
                <w:lang w:val="ru-RU"/>
              </w:rPr>
              <w:t>Группа опасного</w:t>
            </w:r>
            <w:r w:rsidRPr="004D4BE7">
              <w:rPr>
                <w:b/>
                <w:sz w:val="16"/>
                <w:lang w:val="ru-RU"/>
              </w:rPr>
              <w:br/>
              <w:t>гейминга (</w:t>
            </w:r>
            <w:r>
              <w:rPr>
                <w:b/>
                <w:sz w:val="16"/>
              </w:rPr>
              <w:t>N</w:t>
            </w:r>
            <w:r w:rsidRPr="004D4BE7">
              <w:rPr>
                <w:b/>
                <w:sz w:val="16"/>
                <w:lang w:val="ru-RU"/>
              </w:rPr>
              <w:t xml:space="preserve"> = 45)</w:t>
            </w:r>
            <w:r w:rsidRPr="004D4BE7">
              <w:rPr>
                <w:b/>
                <w:sz w:val="16"/>
                <w:lang w:val="ru-RU"/>
              </w:rPr>
              <w:br/>
            </w:r>
            <w:r>
              <w:rPr>
                <w:b/>
                <w:sz w:val="16"/>
              </w:rPr>
              <w:t>N</w:t>
            </w:r>
            <w:r w:rsidRPr="004D4BE7">
              <w:rPr>
                <w:b/>
                <w:sz w:val="16"/>
                <w:lang w:val="ru-RU"/>
              </w:rPr>
              <w:t xml:space="preserve"> (%)/среднее (</w:t>
            </w:r>
            <w:r>
              <w:rPr>
                <w:b/>
                <w:sz w:val="16"/>
              </w:rPr>
              <w:t>SD</w:t>
            </w:r>
            <w:r w:rsidRPr="004D4BE7">
              <w:rPr>
                <w:b/>
                <w:sz w:val="16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0ABC1D" w14:textId="77777777" w:rsidR="003A0B7E" w:rsidRPr="004D4BE7" w:rsidRDefault="00000000">
            <w:pPr>
              <w:jc w:val="center"/>
              <w:rPr>
                <w:lang w:val="ru-RU"/>
              </w:rPr>
            </w:pPr>
            <w:r w:rsidRPr="004D4BE7">
              <w:rPr>
                <w:b/>
                <w:sz w:val="16"/>
                <w:lang w:val="ru-RU"/>
              </w:rPr>
              <w:t>Контрольная группа</w:t>
            </w:r>
            <w:r w:rsidRPr="004D4BE7">
              <w:rPr>
                <w:b/>
                <w:sz w:val="16"/>
                <w:lang w:val="ru-RU"/>
              </w:rPr>
              <w:br/>
              <w:t>(</w:t>
            </w:r>
            <w:r>
              <w:rPr>
                <w:b/>
                <w:sz w:val="16"/>
              </w:rPr>
              <w:t>N</w:t>
            </w:r>
            <w:r w:rsidRPr="004D4BE7">
              <w:rPr>
                <w:b/>
                <w:sz w:val="16"/>
                <w:lang w:val="ru-RU"/>
              </w:rPr>
              <w:t xml:space="preserve"> = 120)</w:t>
            </w:r>
            <w:r w:rsidRPr="004D4BE7">
              <w:rPr>
                <w:b/>
                <w:sz w:val="16"/>
                <w:lang w:val="ru-RU"/>
              </w:rPr>
              <w:br/>
            </w:r>
            <w:r>
              <w:rPr>
                <w:b/>
                <w:sz w:val="16"/>
              </w:rPr>
              <w:t>N</w:t>
            </w:r>
            <w:r w:rsidRPr="004D4BE7">
              <w:rPr>
                <w:b/>
                <w:sz w:val="16"/>
                <w:lang w:val="ru-RU"/>
              </w:rPr>
              <w:t xml:space="preserve"> (%)/среднее (</w:t>
            </w:r>
            <w:r>
              <w:rPr>
                <w:b/>
                <w:sz w:val="16"/>
              </w:rPr>
              <w:t>SD</w:t>
            </w:r>
            <w:r w:rsidRPr="004D4BE7">
              <w:rPr>
                <w:b/>
                <w:sz w:val="16"/>
                <w:lang w:val="ru-RU"/>
              </w:rPr>
              <w:t>)</w:t>
            </w:r>
          </w:p>
        </w:tc>
        <w:tc>
          <w:tcPr>
            <w:tcW w:w="1020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DF754F" w14:textId="77777777" w:rsidR="003A0B7E" w:rsidRDefault="00000000">
            <w:pPr>
              <w:jc w:val="center"/>
            </w:pPr>
            <w:r>
              <w:rPr>
                <w:b/>
                <w:sz w:val="16"/>
              </w:rPr>
              <w:t>χ² / F</w:t>
            </w:r>
          </w:p>
        </w:tc>
        <w:tc>
          <w:tcPr>
            <w:tcW w:w="4932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A42A32" w14:textId="77777777" w:rsidR="003A0B7E" w:rsidRPr="004D4BE7" w:rsidRDefault="00000000">
            <w:pPr>
              <w:jc w:val="center"/>
              <w:rPr>
                <w:lang w:val="ru-RU"/>
              </w:rPr>
            </w:pPr>
            <w:r w:rsidRPr="004D4BE7">
              <w:rPr>
                <w:b/>
                <w:sz w:val="16"/>
                <w:lang w:val="ru-RU"/>
              </w:rPr>
              <w:t>Попарные сравнения</w:t>
            </w:r>
            <w:r w:rsidRPr="004D4BE7">
              <w:rPr>
                <w:b/>
                <w:sz w:val="16"/>
                <w:lang w:val="ru-RU"/>
              </w:rPr>
              <w:br/>
              <w:t>(отношение шансов [95% ДИ])</w:t>
            </w:r>
          </w:p>
        </w:tc>
      </w:tr>
      <w:tr w:rsidR="003A0B7E" w:rsidRPr="004D4BE7" w14:paraId="58EAA6EE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653CAF2" w14:textId="77777777" w:rsidR="003A0B7E" w:rsidRDefault="00000000">
            <w:proofErr w:type="spellStart"/>
            <w:r>
              <w:rPr>
                <w:sz w:val="16"/>
              </w:rPr>
              <w:t>Пол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Женщины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Мужчины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79D4F80" w14:textId="77777777" w:rsidR="003A0B7E" w:rsidRDefault="00000000">
            <w:pPr>
              <w:jc w:val="center"/>
            </w:pPr>
            <w:r>
              <w:rPr>
                <w:sz w:val="16"/>
              </w:rPr>
              <w:t>14 (23.3)</w:t>
            </w:r>
            <w:r>
              <w:rPr>
                <w:sz w:val="16"/>
              </w:rPr>
              <w:br/>
              <w:t>46 (76.7)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8FFB412" w14:textId="77777777" w:rsidR="003A0B7E" w:rsidRDefault="00000000">
            <w:pPr>
              <w:jc w:val="center"/>
            </w:pPr>
            <w:r>
              <w:rPr>
                <w:sz w:val="16"/>
              </w:rPr>
              <w:t>14 (31.1)</w:t>
            </w:r>
            <w:r>
              <w:rPr>
                <w:sz w:val="16"/>
              </w:rPr>
              <w:br/>
              <w:t>31 (68.9)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4ABF6D3" w14:textId="77777777" w:rsidR="003A0B7E" w:rsidRDefault="00000000">
            <w:pPr>
              <w:jc w:val="center"/>
            </w:pPr>
            <w:r>
              <w:rPr>
                <w:sz w:val="16"/>
              </w:rPr>
              <w:t>28 (23.3)</w:t>
            </w:r>
            <w:r>
              <w:rPr>
                <w:sz w:val="16"/>
              </w:rPr>
              <w:br/>
              <w:t>92 (76.7)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428BFCA" w14:textId="77777777" w:rsidR="003A0B7E" w:rsidRDefault="00000000">
            <w:pPr>
              <w:jc w:val="center"/>
            </w:pPr>
            <w:r>
              <w:rPr>
                <w:sz w:val="16"/>
              </w:rPr>
              <w:t>1.17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A5278A1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(мужчины: 1.00 [0.48; 2.08]);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(мужчины: 1.48 [0.62; 3.54]);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(мужчины: 0.67 [0.32; 1.44])</w:t>
            </w:r>
          </w:p>
        </w:tc>
      </w:tr>
      <w:tr w:rsidR="003A0B7E" w:rsidRPr="004D4BE7" w14:paraId="482CDC27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D12EEA0" w14:textId="77777777" w:rsidR="003A0B7E" w:rsidRDefault="00000000">
            <w:r>
              <w:rPr>
                <w:sz w:val="16"/>
              </w:rPr>
              <w:t>ADHD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Да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Нет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A5934C3" w14:textId="77777777" w:rsidR="003A0B7E" w:rsidRDefault="00000000">
            <w:pPr>
              <w:jc w:val="center"/>
            </w:pPr>
            <w:r>
              <w:rPr>
                <w:sz w:val="16"/>
              </w:rPr>
              <w:t>32 (53.3)</w:t>
            </w:r>
            <w:r>
              <w:rPr>
                <w:sz w:val="16"/>
              </w:rPr>
              <w:br/>
              <w:t>28 (46.7)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B49DF00" w14:textId="77777777" w:rsidR="003A0B7E" w:rsidRDefault="00000000">
            <w:pPr>
              <w:jc w:val="center"/>
            </w:pPr>
            <w:r>
              <w:rPr>
                <w:sz w:val="16"/>
              </w:rPr>
              <w:t>15 (33.3)</w:t>
            </w:r>
            <w:r>
              <w:rPr>
                <w:sz w:val="16"/>
              </w:rPr>
              <w:br/>
              <w:t>30 (66.7)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BFCEBC1" w14:textId="77777777" w:rsidR="003A0B7E" w:rsidRDefault="00000000">
            <w:pPr>
              <w:jc w:val="center"/>
            </w:pPr>
            <w:r>
              <w:rPr>
                <w:sz w:val="16"/>
              </w:rPr>
              <w:t>8 (6.7)</w:t>
            </w:r>
            <w:r>
              <w:rPr>
                <w:sz w:val="16"/>
              </w:rPr>
              <w:br/>
              <w:t>112 (93.3)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0ECFC0C" w14:textId="77777777" w:rsidR="003A0B7E" w:rsidRDefault="00000000">
            <w:pPr>
              <w:jc w:val="center"/>
            </w:pPr>
            <w:r>
              <w:rPr>
                <w:sz w:val="16"/>
              </w:rPr>
              <w:t>49.57ppp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E8DFCED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(16.00† [6.61; 38.75]);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(2.42† [1.07; 5.48]);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(6.81† [2.63; 17.63])</w:t>
            </w:r>
          </w:p>
        </w:tc>
      </w:tr>
      <w:tr w:rsidR="003A0B7E" w:rsidRPr="004D4BE7" w14:paraId="0E516BC8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C069127" w14:textId="77777777" w:rsidR="003A0B7E" w:rsidRDefault="00000000">
            <w:proofErr w:type="spellStart"/>
            <w:r>
              <w:rPr>
                <w:sz w:val="16"/>
              </w:rPr>
              <w:t>Депрессивные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расстройства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Да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Нет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2FB8A9E" w14:textId="77777777" w:rsidR="003A0B7E" w:rsidRDefault="00000000">
            <w:pPr>
              <w:jc w:val="center"/>
            </w:pPr>
            <w:r>
              <w:rPr>
                <w:sz w:val="16"/>
              </w:rPr>
              <w:t>22 (36.7)</w:t>
            </w:r>
            <w:r>
              <w:rPr>
                <w:sz w:val="16"/>
              </w:rPr>
              <w:br/>
              <w:t>38 (63.3)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7019635" w14:textId="77777777" w:rsidR="003A0B7E" w:rsidRDefault="00000000">
            <w:pPr>
              <w:jc w:val="center"/>
            </w:pPr>
            <w:r>
              <w:rPr>
                <w:sz w:val="16"/>
              </w:rPr>
              <w:t>3 (6.7)</w:t>
            </w:r>
            <w:r>
              <w:rPr>
                <w:sz w:val="16"/>
              </w:rPr>
              <w:br/>
              <w:t>42 (93.3)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2EC3BAF" w14:textId="77777777" w:rsidR="003A0B7E" w:rsidRDefault="00000000">
            <w:pPr>
              <w:jc w:val="center"/>
            </w:pPr>
            <w:r>
              <w:rPr>
                <w:sz w:val="16"/>
              </w:rPr>
              <w:t>6 (5.0)</w:t>
            </w:r>
            <w:r>
              <w:rPr>
                <w:sz w:val="16"/>
              </w:rPr>
              <w:br/>
              <w:t>114 (95.0)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BBA668A" w14:textId="77777777" w:rsidR="003A0B7E" w:rsidRDefault="00000000">
            <w:pPr>
              <w:jc w:val="center"/>
            </w:pPr>
            <w:r>
              <w:rPr>
                <w:sz w:val="16"/>
              </w:rPr>
              <w:t>36.16ppp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8FC9E4A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(11.47† [4.28; 30.74]);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(8.09† [2.23; 29.35]);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(1.36† [0.32; 5.73])</w:t>
            </w:r>
          </w:p>
        </w:tc>
      </w:tr>
      <w:tr w:rsidR="003A0B7E" w:rsidRPr="004D4BE7" w14:paraId="73A6EB10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4A08489" w14:textId="77777777" w:rsidR="003A0B7E" w:rsidRPr="004D4BE7" w:rsidRDefault="00000000">
            <w:pPr>
              <w:rPr>
                <w:lang w:val="ru-RU"/>
              </w:rPr>
            </w:pPr>
            <w:r w:rsidRPr="004D4BE7">
              <w:rPr>
                <w:sz w:val="16"/>
                <w:lang w:val="ru-RU"/>
              </w:rPr>
              <w:t>Генерализованное тревожное расстройство</w:t>
            </w:r>
            <w:r w:rsidRPr="004D4BE7">
              <w:rPr>
                <w:sz w:val="16"/>
                <w:lang w:val="ru-RU"/>
              </w:rPr>
              <w:br/>
              <w:t>Да</w:t>
            </w:r>
            <w:r w:rsidRPr="004D4BE7">
              <w:rPr>
                <w:sz w:val="16"/>
                <w:lang w:val="ru-RU"/>
              </w:rPr>
              <w:br/>
              <w:t>Нет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D097467" w14:textId="77777777" w:rsidR="003A0B7E" w:rsidRDefault="00000000">
            <w:pPr>
              <w:jc w:val="center"/>
            </w:pPr>
            <w:r>
              <w:rPr>
                <w:sz w:val="16"/>
              </w:rPr>
              <w:t>18 (30.0)</w:t>
            </w:r>
            <w:r>
              <w:rPr>
                <w:sz w:val="16"/>
              </w:rPr>
              <w:br/>
              <w:t>42 (70.0)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EC37E30" w14:textId="77777777" w:rsidR="003A0B7E" w:rsidRDefault="00000000">
            <w:pPr>
              <w:jc w:val="center"/>
            </w:pPr>
            <w:r>
              <w:rPr>
                <w:sz w:val="16"/>
              </w:rPr>
              <w:t>7 (15.6)</w:t>
            </w:r>
            <w:r>
              <w:rPr>
                <w:sz w:val="16"/>
              </w:rPr>
              <w:br/>
              <w:t>38 (84.4)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CCCF17F" w14:textId="77777777" w:rsidR="003A0B7E" w:rsidRDefault="00000000">
            <w:pPr>
              <w:jc w:val="center"/>
            </w:pPr>
            <w:r>
              <w:rPr>
                <w:sz w:val="16"/>
              </w:rPr>
              <w:t>5 (4.2)</w:t>
            </w:r>
            <w:r>
              <w:rPr>
                <w:sz w:val="16"/>
              </w:rPr>
              <w:br/>
              <w:t>115 (95.8)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D596AEE" w14:textId="77777777" w:rsidR="003A0B7E" w:rsidRDefault="00000000">
            <w:pPr>
              <w:jc w:val="center"/>
            </w:pPr>
            <w:r>
              <w:rPr>
                <w:sz w:val="16"/>
              </w:rPr>
              <w:t>23.34ppp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A68057A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(10.33† [3.52; 30.31]);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(2.49† [0.92; 6.77]);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(4.15† [1.24; 13.92])</w:t>
            </w:r>
          </w:p>
        </w:tc>
      </w:tr>
      <w:tr w:rsidR="003A0B7E" w:rsidRPr="004D4BE7" w14:paraId="44D53CF7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594CB88" w14:textId="77777777" w:rsidR="003A0B7E" w:rsidRPr="004D4BE7" w:rsidRDefault="00000000">
            <w:pPr>
              <w:rPr>
                <w:lang w:val="ru-RU"/>
              </w:rPr>
            </w:pPr>
            <w:r w:rsidRPr="004D4BE7">
              <w:rPr>
                <w:sz w:val="16"/>
                <w:lang w:val="ru-RU"/>
              </w:rPr>
              <w:t>Социальное тревожное расстройство</w:t>
            </w:r>
            <w:r w:rsidRPr="004D4BE7">
              <w:rPr>
                <w:sz w:val="16"/>
                <w:lang w:val="ru-RU"/>
              </w:rPr>
              <w:br/>
              <w:t>Да</w:t>
            </w:r>
            <w:r w:rsidRPr="004D4BE7">
              <w:rPr>
                <w:sz w:val="16"/>
                <w:lang w:val="ru-RU"/>
              </w:rPr>
              <w:br/>
              <w:t>Нет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85110E0" w14:textId="77777777" w:rsidR="003A0B7E" w:rsidRDefault="00000000">
            <w:pPr>
              <w:jc w:val="center"/>
            </w:pPr>
            <w:r>
              <w:rPr>
                <w:sz w:val="16"/>
              </w:rPr>
              <w:t>5 (8.3)</w:t>
            </w:r>
            <w:r>
              <w:rPr>
                <w:sz w:val="16"/>
              </w:rPr>
              <w:br/>
              <w:t>55 (91.7)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9012D80" w14:textId="77777777" w:rsidR="003A0B7E" w:rsidRDefault="00000000">
            <w:pPr>
              <w:jc w:val="center"/>
            </w:pPr>
            <w:r>
              <w:rPr>
                <w:sz w:val="16"/>
              </w:rPr>
              <w:t>1 (2.2)</w:t>
            </w:r>
            <w:r>
              <w:rPr>
                <w:sz w:val="16"/>
              </w:rPr>
              <w:br/>
              <w:t>44 (97.8)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D3B7652" w14:textId="77777777" w:rsidR="003A0B7E" w:rsidRDefault="00000000">
            <w:pPr>
              <w:jc w:val="center"/>
            </w:pPr>
            <w:r>
              <w:rPr>
                <w:sz w:val="16"/>
              </w:rPr>
              <w:t>2 (1.7)</w:t>
            </w:r>
            <w:r>
              <w:rPr>
                <w:sz w:val="16"/>
              </w:rPr>
              <w:br/>
              <w:t>118 (98.3)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D36F424" w14:textId="77777777" w:rsidR="003A0B7E" w:rsidRDefault="00000000">
            <w:pPr>
              <w:jc w:val="center"/>
            </w:pPr>
            <w:r>
              <w:rPr>
                <w:sz w:val="16"/>
              </w:rPr>
              <w:t>5.48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040E671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(5.74† [1.02; 32.27]);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(6.18† [0.64; 60.00]);</w:t>
            </w:r>
            <w:r w:rsidRPr="004D4BE7">
              <w:rPr>
                <w:sz w:val="16"/>
                <w:lang w:val="ru-RU"/>
              </w:rPr>
              <w:br/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vs</w:t>
            </w:r>
            <w:r w:rsidRPr="004D4BE7">
              <w:rPr>
                <w:sz w:val="16"/>
                <w:lang w:val="ru-RU"/>
              </w:rPr>
              <w:t xml:space="preserve"> контроль (1.12† [0.10; 13.02])</w:t>
            </w:r>
          </w:p>
        </w:tc>
      </w:tr>
      <w:tr w:rsidR="003A0B7E" w:rsidRPr="004D4BE7" w14:paraId="5810F2B7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390A73F" w14:textId="77777777" w:rsidR="003A0B7E" w:rsidRDefault="00000000">
            <w:proofErr w:type="spellStart"/>
            <w:r>
              <w:rPr>
                <w:sz w:val="16"/>
              </w:rPr>
              <w:t>Возраст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диапазон</w:t>
            </w:r>
            <w:proofErr w:type="spellEnd"/>
            <w:r>
              <w:rPr>
                <w:sz w:val="16"/>
              </w:rPr>
              <w:t xml:space="preserve"> 20–40 </w:t>
            </w:r>
            <w:proofErr w:type="spellStart"/>
            <w:r>
              <w:rPr>
                <w:sz w:val="16"/>
              </w:rPr>
              <w:t>лет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F6CFBB9" w14:textId="77777777" w:rsidR="003A0B7E" w:rsidRDefault="00000000">
            <w:pPr>
              <w:jc w:val="center"/>
            </w:pPr>
            <w:r>
              <w:rPr>
                <w:sz w:val="16"/>
              </w:rPr>
              <w:t>26.42 (4.54)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301A7E6" w14:textId="77777777" w:rsidR="003A0B7E" w:rsidRDefault="00000000">
            <w:pPr>
              <w:jc w:val="center"/>
            </w:pPr>
            <w:r>
              <w:rPr>
                <w:sz w:val="16"/>
              </w:rPr>
              <w:t>26.60 (5.00)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192E52A" w14:textId="77777777" w:rsidR="003A0B7E" w:rsidRDefault="00000000">
            <w:pPr>
              <w:jc w:val="center"/>
            </w:pPr>
            <w:r>
              <w:rPr>
                <w:sz w:val="16"/>
              </w:rPr>
              <w:t>27.18 (4.56)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B6E6874" w14:textId="77777777" w:rsidR="003A0B7E" w:rsidRDefault="00000000">
            <w:pPr>
              <w:jc w:val="center"/>
            </w:pPr>
            <w:r>
              <w:rPr>
                <w:sz w:val="16"/>
              </w:rPr>
              <w:t>0.58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5AA0F12" w14:textId="77777777" w:rsidR="003A0B7E" w:rsidRPr="004D4BE7" w:rsidRDefault="00000000">
            <w:pPr>
              <w:rPr>
                <w:lang w:val="ru-RU"/>
              </w:rPr>
            </w:pPr>
            <w:proofErr w:type="gramStart"/>
            <w:r w:rsidRPr="004D4BE7">
              <w:rPr>
                <w:sz w:val="16"/>
                <w:lang w:val="ru-RU"/>
              </w:rPr>
              <w:t>контроль &gt;</w:t>
            </w:r>
            <w:proofErr w:type="gramEnd"/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(0.17);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(0.08);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(0.08)</w:t>
            </w:r>
          </w:p>
        </w:tc>
      </w:tr>
      <w:tr w:rsidR="003A0B7E" w:rsidRPr="004D4BE7" w14:paraId="7E4AE75B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D3C33C5" w14:textId="77777777" w:rsidR="003A0B7E" w:rsidRDefault="00000000">
            <w:proofErr w:type="spellStart"/>
            <w:r>
              <w:rPr>
                <w:sz w:val="16"/>
              </w:rPr>
              <w:t>Уровень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образования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лет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99AC583" w14:textId="77777777" w:rsidR="003A0B7E" w:rsidRDefault="00000000">
            <w:pPr>
              <w:jc w:val="center"/>
            </w:pPr>
            <w:r>
              <w:rPr>
                <w:sz w:val="16"/>
              </w:rPr>
              <w:t>15.80 (1.36)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1980E3A" w14:textId="77777777" w:rsidR="003A0B7E" w:rsidRDefault="00000000">
            <w:pPr>
              <w:jc w:val="center"/>
            </w:pPr>
            <w:r>
              <w:rPr>
                <w:sz w:val="16"/>
              </w:rPr>
              <w:t>15.73 (1.57)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166A688" w14:textId="77777777" w:rsidR="003A0B7E" w:rsidRDefault="00000000">
            <w:pPr>
              <w:jc w:val="center"/>
            </w:pPr>
            <w:r>
              <w:rPr>
                <w:sz w:val="16"/>
              </w:rPr>
              <w:t>16.02 (1.68)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A0F729E" w14:textId="77777777" w:rsidR="003A0B7E" w:rsidRDefault="00000000">
            <w:pPr>
              <w:jc w:val="center"/>
            </w:pPr>
            <w:r>
              <w:rPr>
                <w:sz w:val="16"/>
              </w:rPr>
              <w:t>0.59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DACEE9D" w14:textId="77777777" w:rsidR="003A0B7E" w:rsidRPr="004D4BE7" w:rsidRDefault="00000000">
            <w:pPr>
              <w:rPr>
                <w:lang w:val="ru-RU"/>
              </w:rPr>
            </w:pPr>
            <w:proofErr w:type="gramStart"/>
            <w:r w:rsidRPr="004D4BE7">
              <w:rPr>
                <w:sz w:val="16"/>
                <w:lang w:val="ru-RU"/>
              </w:rPr>
              <w:t>контроль &gt;</w:t>
            </w:r>
            <w:proofErr w:type="gramEnd"/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(0.12);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(0.05);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(0.17)</w:t>
            </w:r>
          </w:p>
        </w:tc>
      </w:tr>
      <w:tr w:rsidR="003A0B7E" w:rsidRPr="004D4BE7" w14:paraId="1FDB88DE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A9A8499" w14:textId="77777777" w:rsidR="003A0B7E" w:rsidRDefault="00000000">
            <w:r>
              <w:rPr>
                <w:sz w:val="16"/>
              </w:rPr>
              <w:t xml:space="preserve">CCPT: </w:t>
            </w:r>
            <w:proofErr w:type="spellStart"/>
            <w:r>
              <w:rPr>
                <w:sz w:val="16"/>
              </w:rPr>
              <w:t>различительная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способность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4DDA2B2" w14:textId="77777777" w:rsidR="003A0B7E" w:rsidRDefault="00000000">
            <w:pPr>
              <w:jc w:val="center"/>
            </w:pPr>
            <w:r>
              <w:rPr>
                <w:sz w:val="16"/>
              </w:rPr>
              <w:t>48.32 (10.17)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5B75A96" w14:textId="77777777" w:rsidR="003A0B7E" w:rsidRDefault="00000000">
            <w:pPr>
              <w:jc w:val="center"/>
            </w:pPr>
            <w:r>
              <w:rPr>
                <w:sz w:val="16"/>
              </w:rPr>
              <w:t>47.20 (9.62)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61AF0C0" w14:textId="77777777" w:rsidR="003A0B7E" w:rsidRDefault="00000000">
            <w:pPr>
              <w:jc w:val="center"/>
            </w:pPr>
            <w:r>
              <w:rPr>
                <w:sz w:val="16"/>
              </w:rPr>
              <w:t>46.71 (9.55)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292E1CB" w14:textId="77777777" w:rsidR="003A0B7E" w:rsidRDefault="00000000">
            <w:pPr>
              <w:jc w:val="center"/>
            </w:pPr>
            <w:r>
              <w:rPr>
                <w:sz w:val="16"/>
              </w:rPr>
              <w:t>0.63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7ED261A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(0.18);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(0.15);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(0.03)</w:t>
            </w:r>
          </w:p>
        </w:tc>
      </w:tr>
      <w:tr w:rsidR="003A0B7E" w:rsidRPr="004D4BE7" w14:paraId="406F70EE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41E62D2" w14:textId="77777777" w:rsidR="003A0B7E" w:rsidRDefault="00000000">
            <w:r>
              <w:rPr>
                <w:sz w:val="16"/>
              </w:rPr>
              <w:t xml:space="preserve">CCPT: </w:t>
            </w:r>
            <w:proofErr w:type="spellStart"/>
            <w:r>
              <w:rPr>
                <w:sz w:val="16"/>
              </w:rPr>
              <w:t>ошибки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пропуска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CC1F8A4" w14:textId="77777777" w:rsidR="003A0B7E" w:rsidRDefault="00000000">
            <w:pPr>
              <w:jc w:val="center"/>
            </w:pPr>
            <w:r>
              <w:rPr>
                <w:sz w:val="16"/>
              </w:rPr>
              <w:t>46.25 (6.32)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86C8A11" w14:textId="77777777" w:rsidR="003A0B7E" w:rsidRDefault="00000000">
            <w:pPr>
              <w:jc w:val="center"/>
            </w:pPr>
            <w:r>
              <w:rPr>
                <w:sz w:val="16"/>
              </w:rPr>
              <w:t>45.98 (5.00)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6F96387" w14:textId="77777777" w:rsidR="003A0B7E" w:rsidRDefault="00000000">
            <w:pPr>
              <w:jc w:val="center"/>
            </w:pPr>
            <w:r>
              <w:rPr>
                <w:sz w:val="16"/>
              </w:rPr>
              <w:t>45.97 (5.15)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86BF21B" w14:textId="77777777" w:rsidR="003A0B7E" w:rsidRDefault="00000000">
            <w:pPr>
              <w:jc w:val="center"/>
            </w:pPr>
            <w:r>
              <w:rPr>
                <w:sz w:val="16"/>
              </w:rPr>
              <w:t>0.08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033DB43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(0.05);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(0.07);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(0.02)</w:t>
            </w:r>
          </w:p>
        </w:tc>
      </w:tr>
      <w:tr w:rsidR="003A0B7E" w:rsidRPr="004D4BE7" w14:paraId="30C98E7D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E4C4144" w14:textId="77777777" w:rsidR="003A0B7E" w:rsidRDefault="00000000">
            <w:r>
              <w:rPr>
                <w:sz w:val="16"/>
              </w:rPr>
              <w:t xml:space="preserve">CCPT: </w:t>
            </w:r>
            <w:proofErr w:type="spellStart"/>
            <w:r>
              <w:rPr>
                <w:sz w:val="16"/>
              </w:rPr>
              <w:t>ошибки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совершения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E708946" w14:textId="77777777" w:rsidR="003A0B7E" w:rsidRDefault="00000000">
            <w:pPr>
              <w:jc w:val="center"/>
            </w:pPr>
            <w:r>
              <w:rPr>
                <w:sz w:val="16"/>
              </w:rPr>
              <w:t>51.77 (11.14)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E4F056A" w14:textId="77777777" w:rsidR="003A0B7E" w:rsidRDefault="00000000">
            <w:pPr>
              <w:jc w:val="center"/>
            </w:pPr>
            <w:r>
              <w:rPr>
                <w:sz w:val="16"/>
              </w:rPr>
              <w:t>50.18 (11.20)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88F9C2F" w14:textId="77777777" w:rsidR="003A0B7E" w:rsidRDefault="00000000">
            <w:pPr>
              <w:jc w:val="center"/>
            </w:pPr>
            <w:r>
              <w:rPr>
                <w:sz w:val="16"/>
              </w:rPr>
              <w:t>49.53 (10.66)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8678765" w14:textId="77777777" w:rsidR="003A0B7E" w:rsidRDefault="00000000">
            <w:pPr>
              <w:jc w:val="center"/>
            </w:pPr>
            <w:r>
              <w:rPr>
                <w:sz w:val="16"/>
              </w:rPr>
              <w:t>0.97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6C2231B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(0.22);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(0.18);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(0.04)</w:t>
            </w:r>
          </w:p>
        </w:tc>
      </w:tr>
      <w:tr w:rsidR="003A0B7E" w:rsidRPr="004D4BE7" w14:paraId="103E968F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F6C166B" w14:textId="77777777" w:rsidR="003A0B7E" w:rsidRDefault="00000000">
            <w:r>
              <w:rPr>
                <w:sz w:val="16"/>
              </w:rPr>
              <w:t xml:space="preserve">CCPT: </w:t>
            </w:r>
            <w:proofErr w:type="spellStart"/>
            <w:r>
              <w:rPr>
                <w:sz w:val="16"/>
              </w:rPr>
              <w:t>персеверации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0A4EBE0" w14:textId="77777777" w:rsidR="003A0B7E" w:rsidRDefault="00000000">
            <w:pPr>
              <w:jc w:val="center"/>
            </w:pPr>
            <w:r>
              <w:rPr>
                <w:sz w:val="16"/>
              </w:rPr>
              <w:t>49.90 (10.26)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1F9C485" w14:textId="77777777" w:rsidR="003A0B7E" w:rsidRDefault="00000000">
            <w:pPr>
              <w:jc w:val="center"/>
            </w:pPr>
            <w:r>
              <w:rPr>
                <w:sz w:val="16"/>
              </w:rPr>
              <w:t>47.02 (3.64)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5F4FB7C" w14:textId="77777777" w:rsidR="003A0B7E" w:rsidRDefault="00000000">
            <w:pPr>
              <w:jc w:val="center"/>
            </w:pPr>
            <w:r>
              <w:rPr>
                <w:sz w:val="16"/>
              </w:rPr>
              <w:t>47.10 (3.89)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2607D5E" w14:textId="77777777" w:rsidR="003A0B7E" w:rsidRDefault="00000000">
            <w:pPr>
              <w:jc w:val="center"/>
            </w:pPr>
            <w:r>
              <w:rPr>
                <w:sz w:val="16"/>
              </w:rPr>
              <w:t>4.66p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AB65745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(0.44</w:t>
            </w:r>
            <w:r>
              <w:rPr>
                <w:sz w:val="16"/>
              </w:rPr>
              <w:t>p</w:t>
            </w:r>
            <w:r w:rsidRPr="004D4BE7">
              <w:rPr>
                <w:sz w:val="16"/>
                <w:lang w:val="ru-RU"/>
              </w:rPr>
              <w:t xml:space="preserve">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(0.50</w:t>
            </w:r>
            <w:r>
              <w:rPr>
                <w:sz w:val="16"/>
              </w:rPr>
              <w:t>p</w:t>
            </w:r>
            <w:r w:rsidRPr="004D4BE7">
              <w:rPr>
                <w:sz w:val="16"/>
                <w:lang w:val="ru-RU"/>
              </w:rPr>
              <w:t xml:space="preserve">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(0.06)</w:t>
            </w:r>
          </w:p>
        </w:tc>
      </w:tr>
      <w:tr w:rsidR="003A0B7E" w:rsidRPr="004D4BE7" w14:paraId="56B0F814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C22B108" w14:textId="77777777" w:rsidR="003A0B7E" w:rsidRDefault="00000000">
            <w:proofErr w:type="spellStart"/>
            <w:r>
              <w:rPr>
                <w:sz w:val="16"/>
              </w:rPr>
              <w:t>Импульсивность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9EE6BE0" w14:textId="77777777" w:rsidR="003A0B7E" w:rsidRDefault="00000000">
            <w:pPr>
              <w:jc w:val="center"/>
            </w:pPr>
            <w:r>
              <w:rPr>
                <w:sz w:val="16"/>
              </w:rPr>
              <w:t>5.35 (3.27)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AAD66C2" w14:textId="77777777" w:rsidR="003A0B7E" w:rsidRDefault="00000000">
            <w:pPr>
              <w:jc w:val="center"/>
            </w:pPr>
            <w:r>
              <w:rPr>
                <w:sz w:val="16"/>
              </w:rPr>
              <w:t>4.42 (3.12)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94C2061" w14:textId="77777777" w:rsidR="003A0B7E" w:rsidRDefault="00000000">
            <w:pPr>
              <w:jc w:val="center"/>
            </w:pPr>
            <w:r>
              <w:rPr>
                <w:sz w:val="16"/>
              </w:rPr>
              <w:t>3.35 (2.87)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883057A" w14:textId="77777777" w:rsidR="003A0B7E" w:rsidRDefault="00000000">
            <w:pPr>
              <w:jc w:val="center"/>
            </w:pPr>
            <w:r>
              <w:rPr>
                <w:sz w:val="16"/>
              </w:rPr>
              <w:t>8.50ppp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575E3CD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(0.64</w:t>
            </w:r>
            <w:proofErr w:type="spellStart"/>
            <w:r>
              <w:rPr>
                <w:sz w:val="16"/>
              </w:rPr>
              <w:t>ppp</w:t>
            </w:r>
            <w:proofErr w:type="spellEnd"/>
            <w:r w:rsidRPr="004D4BE7">
              <w:rPr>
                <w:sz w:val="16"/>
                <w:lang w:val="ru-RU"/>
              </w:rPr>
              <w:t xml:space="preserve">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(0.30);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(0.34)</w:t>
            </w:r>
          </w:p>
        </w:tc>
      </w:tr>
      <w:tr w:rsidR="003A0B7E" w:rsidRPr="004D4BE7" w14:paraId="204044A8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E29F17A" w14:textId="77777777" w:rsidR="003A0B7E" w:rsidRDefault="00000000">
            <w:proofErr w:type="spellStart"/>
            <w:r>
              <w:rPr>
                <w:sz w:val="16"/>
              </w:rPr>
              <w:t>Функциональная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импульсивность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A21C9D6" w14:textId="77777777" w:rsidR="003A0B7E" w:rsidRDefault="00000000">
            <w:pPr>
              <w:jc w:val="center"/>
            </w:pPr>
            <w:r>
              <w:rPr>
                <w:sz w:val="16"/>
              </w:rPr>
              <w:t>5.25 (3.15)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D48DB87" w14:textId="77777777" w:rsidR="003A0B7E" w:rsidRDefault="00000000">
            <w:pPr>
              <w:jc w:val="center"/>
            </w:pPr>
            <w:r>
              <w:rPr>
                <w:sz w:val="16"/>
              </w:rPr>
              <w:t>5.56 (3.57)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F1A9A23" w14:textId="77777777" w:rsidR="003A0B7E" w:rsidRDefault="00000000">
            <w:pPr>
              <w:jc w:val="center"/>
            </w:pPr>
            <w:r>
              <w:rPr>
                <w:sz w:val="16"/>
              </w:rPr>
              <w:t>6.26 (2.89)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A983796" w14:textId="77777777" w:rsidR="003A0B7E" w:rsidRDefault="00000000">
            <w:pPr>
              <w:jc w:val="center"/>
            </w:pPr>
            <w:r>
              <w:rPr>
                <w:sz w:val="16"/>
              </w:rPr>
              <w:t>2.25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C994D88" w14:textId="77777777" w:rsidR="003A0B7E" w:rsidRPr="004D4BE7" w:rsidRDefault="00000000">
            <w:pPr>
              <w:rPr>
                <w:lang w:val="ru-RU"/>
              </w:rPr>
            </w:pPr>
            <w:proofErr w:type="gramStart"/>
            <w:r w:rsidRPr="004D4BE7">
              <w:rPr>
                <w:sz w:val="16"/>
                <w:lang w:val="ru-RU"/>
              </w:rPr>
              <w:t>контроль &gt;</w:t>
            </w:r>
            <w:proofErr w:type="gramEnd"/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(0.32);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(0.12);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(0.21)</w:t>
            </w:r>
          </w:p>
        </w:tc>
      </w:tr>
      <w:tr w:rsidR="003A0B7E" w:rsidRPr="004D4BE7" w14:paraId="3C3CD5BC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C96AA3C" w14:textId="77777777" w:rsidR="003A0B7E" w:rsidRDefault="00000000">
            <w:proofErr w:type="spellStart"/>
            <w:r>
              <w:rPr>
                <w:sz w:val="16"/>
              </w:rPr>
              <w:t>Когнитивная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переоценка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B0DAB65" w14:textId="77777777" w:rsidR="003A0B7E" w:rsidRDefault="00000000">
            <w:pPr>
              <w:jc w:val="center"/>
            </w:pPr>
            <w:r>
              <w:rPr>
                <w:sz w:val="16"/>
              </w:rPr>
              <w:t>29.42 (5.55)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675153C" w14:textId="77777777" w:rsidR="003A0B7E" w:rsidRDefault="00000000">
            <w:pPr>
              <w:jc w:val="center"/>
            </w:pPr>
            <w:r>
              <w:rPr>
                <w:sz w:val="16"/>
              </w:rPr>
              <w:t>31.47 (5.92)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4BC8CF2" w14:textId="77777777" w:rsidR="003A0B7E" w:rsidRDefault="00000000">
            <w:pPr>
              <w:jc w:val="center"/>
            </w:pPr>
            <w:r>
              <w:rPr>
                <w:sz w:val="16"/>
              </w:rPr>
              <w:t>33.86 (5.09)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077D3D7" w14:textId="77777777" w:rsidR="003A0B7E" w:rsidRDefault="00000000">
            <w:pPr>
              <w:jc w:val="center"/>
            </w:pPr>
            <w:r>
              <w:rPr>
                <w:sz w:val="16"/>
              </w:rPr>
              <w:t>14.69ppp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006B43A" w14:textId="77777777" w:rsidR="003A0B7E" w:rsidRPr="004D4BE7" w:rsidRDefault="00000000">
            <w:pPr>
              <w:rPr>
                <w:lang w:val="ru-RU"/>
              </w:rPr>
            </w:pPr>
            <w:proofErr w:type="gramStart"/>
            <w:r w:rsidRPr="004D4BE7">
              <w:rPr>
                <w:sz w:val="16"/>
                <w:lang w:val="ru-RU"/>
              </w:rPr>
              <w:t>контроль &gt;</w:t>
            </w:r>
            <w:proofErr w:type="gramEnd"/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(0.85</w:t>
            </w:r>
            <w:proofErr w:type="spellStart"/>
            <w:r>
              <w:rPr>
                <w:sz w:val="16"/>
              </w:rPr>
              <w:t>ppp</w:t>
            </w:r>
            <w:proofErr w:type="spellEnd"/>
            <w:r w:rsidRPr="004D4BE7">
              <w:rPr>
                <w:sz w:val="16"/>
                <w:lang w:val="ru-RU"/>
              </w:rPr>
              <w:t xml:space="preserve">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(0.42);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(0.43</w:t>
            </w:r>
            <w:r>
              <w:rPr>
                <w:sz w:val="16"/>
              </w:rPr>
              <w:t>p</w:t>
            </w:r>
            <w:r w:rsidRPr="004D4BE7">
              <w:rPr>
                <w:sz w:val="16"/>
                <w:lang w:val="ru-RU"/>
              </w:rPr>
              <w:t>)</w:t>
            </w:r>
          </w:p>
        </w:tc>
      </w:tr>
      <w:tr w:rsidR="003A0B7E" w:rsidRPr="004D4BE7" w14:paraId="5996B75B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4E05DC6" w14:textId="77777777" w:rsidR="003A0B7E" w:rsidRDefault="00000000">
            <w:proofErr w:type="spellStart"/>
            <w:r>
              <w:rPr>
                <w:sz w:val="16"/>
              </w:rPr>
              <w:t>Экспрессивное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подавление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E7A2B8E" w14:textId="77777777" w:rsidR="003A0B7E" w:rsidRDefault="00000000">
            <w:pPr>
              <w:jc w:val="center"/>
            </w:pPr>
            <w:r>
              <w:rPr>
                <w:sz w:val="16"/>
              </w:rPr>
              <w:t>19.07 (4.38)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FE5AA06" w14:textId="77777777" w:rsidR="003A0B7E" w:rsidRDefault="00000000">
            <w:pPr>
              <w:jc w:val="center"/>
            </w:pPr>
            <w:r>
              <w:rPr>
                <w:sz w:val="16"/>
              </w:rPr>
              <w:t>18.31 (4.32)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8B86DF0" w14:textId="77777777" w:rsidR="003A0B7E" w:rsidRDefault="00000000">
            <w:pPr>
              <w:jc w:val="center"/>
            </w:pPr>
            <w:r>
              <w:rPr>
                <w:sz w:val="16"/>
              </w:rPr>
              <w:t>18.35 (4.03)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65E6E25" w14:textId="77777777" w:rsidR="003A0B7E" w:rsidRDefault="00000000">
            <w:pPr>
              <w:jc w:val="center"/>
            </w:pPr>
            <w:r>
              <w:rPr>
                <w:sz w:val="16"/>
              </w:rPr>
              <w:t>0.62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FB4791A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(0.17);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(0.16);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(0.01)</w:t>
            </w:r>
          </w:p>
        </w:tc>
      </w:tr>
      <w:tr w:rsidR="003A0B7E" w:rsidRPr="004D4BE7" w14:paraId="0FF5101E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60500E5" w14:textId="77777777" w:rsidR="003A0B7E" w:rsidRDefault="00000000">
            <w:proofErr w:type="spellStart"/>
            <w:r>
              <w:rPr>
                <w:sz w:val="16"/>
              </w:rPr>
              <w:t>Аверсивная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чувствительность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8FFF4B6" w14:textId="77777777" w:rsidR="003A0B7E" w:rsidRDefault="00000000">
            <w:pPr>
              <w:jc w:val="center"/>
            </w:pPr>
            <w:r>
              <w:rPr>
                <w:sz w:val="16"/>
              </w:rPr>
              <w:t>22.65 (2.86)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E5BA156" w14:textId="77777777" w:rsidR="003A0B7E" w:rsidRDefault="00000000">
            <w:pPr>
              <w:jc w:val="center"/>
            </w:pPr>
            <w:r>
              <w:rPr>
                <w:sz w:val="16"/>
              </w:rPr>
              <w:t>21.71 (3.58)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C495B6C" w14:textId="77777777" w:rsidR="003A0B7E" w:rsidRDefault="00000000">
            <w:pPr>
              <w:jc w:val="center"/>
            </w:pPr>
            <w:r>
              <w:rPr>
                <w:sz w:val="16"/>
              </w:rPr>
              <w:t>20.03 (3.08)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5452FC1" w14:textId="77777777" w:rsidR="003A0B7E" w:rsidRDefault="00000000">
            <w:pPr>
              <w:jc w:val="center"/>
            </w:pPr>
            <w:r>
              <w:rPr>
                <w:sz w:val="16"/>
              </w:rPr>
              <w:t>14.55ppp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A45B9C8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(0.83</w:t>
            </w:r>
            <w:proofErr w:type="spellStart"/>
            <w:r>
              <w:rPr>
                <w:sz w:val="16"/>
              </w:rPr>
              <w:t>ppp</w:t>
            </w:r>
            <w:proofErr w:type="spellEnd"/>
            <w:r w:rsidRPr="004D4BE7">
              <w:rPr>
                <w:sz w:val="16"/>
                <w:lang w:val="ru-RU"/>
              </w:rPr>
              <w:t xml:space="preserve">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(0.32);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(0.50</w:t>
            </w:r>
            <w:r>
              <w:rPr>
                <w:sz w:val="16"/>
              </w:rPr>
              <w:t>pp</w:t>
            </w:r>
            <w:r w:rsidRPr="004D4BE7">
              <w:rPr>
                <w:sz w:val="16"/>
                <w:lang w:val="ru-RU"/>
              </w:rPr>
              <w:t>)</w:t>
            </w:r>
          </w:p>
        </w:tc>
      </w:tr>
      <w:tr w:rsidR="003A0B7E" w:rsidRPr="004D4BE7" w14:paraId="14E4A9FC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777F5F0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BAS</w:t>
            </w:r>
            <w:r w:rsidRPr="004D4BE7">
              <w:rPr>
                <w:sz w:val="16"/>
                <w:lang w:val="ru-RU"/>
              </w:rPr>
              <w:t>-</w:t>
            </w:r>
            <w:r>
              <w:rPr>
                <w:sz w:val="16"/>
              </w:rPr>
              <w:t>Drive</w:t>
            </w:r>
            <w:r w:rsidRPr="004D4BE7">
              <w:rPr>
                <w:sz w:val="16"/>
                <w:lang w:val="ru-RU"/>
              </w:rPr>
              <w:t xml:space="preserve"> / стремление к цели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022C403" w14:textId="77777777" w:rsidR="003A0B7E" w:rsidRDefault="00000000">
            <w:pPr>
              <w:jc w:val="center"/>
            </w:pPr>
            <w:r>
              <w:rPr>
                <w:sz w:val="16"/>
              </w:rPr>
              <w:t>12.10 (2.07)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0C6A066" w14:textId="77777777" w:rsidR="003A0B7E" w:rsidRDefault="00000000">
            <w:pPr>
              <w:jc w:val="center"/>
            </w:pPr>
            <w:r>
              <w:rPr>
                <w:sz w:val="16"/>
              </w:rPr>
              <w:t>12.38 (1.79)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F0445D1" w14:textId="77777777" w:rsidR="003A0B7E" w:rsidRDefault="00000000">
            <w:pPr>
              <w:jc w:val="center"/>
            </w:pPr>
            <w:r>
              <w:rPr>
                <w:sz w:val="16"/>
              </w:rPr>
              <w:t>12.99 (1.91)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1F737D1" w14:textId="77777777" w:rsidR="003A0B7E" w:rsidRDefault="00000000">
            <w:pPr>
              <w:jc w:val="center"/>
            </w:pPr>
            <w:r>
              <w:rPr>
                <w:sz w:val="16"/>
              </w:rPr>
              <w:t>4.65p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4254569" w14:textId="77777777" w:rsidR="003A0B7E" w:rsidRPr="004D4BE7" w:rsidRDefault="00000000">
            <w:pPr>
              <w:rPr>
                <w:lang w:val="ru-RU"/>
              </w:rPr>
            </w:pPr>
            <w:proofErr w:type="gramStart"/>
            <w:r w:rsidRPr="004D4BE7">
              <w:rPr>
                <w:sz w:val="16"/>
                <w:lang w:val="ru-RU"/>
              </w:rPr>
              <w:t>контроль &gt;</w:t>
            </w:r>
            <w:proofErr w:type="gramEnd"/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(0.46</w:t>
            </w:r>
            <w:r>
              <w:rPr>
                <w:sz w:val="16"/>
              </w:rPr>
              <w:t>p</w:t>
            </w:r>
            <w:r w:rsidRPr="004D4BE7">
              <w:rPr>
                <w:sz w:val="16"/>
                <w:lang w:val="ru-RU"/>
              </w:rPr>
              <w:t xml:space="preserve">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(0.17); контроль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(0.30)</w:t>
            </w:r>
          </w:p>
        </w:tc>
      </w:tr>
      <w:tr w:rsidR="003A0B7E" w:rsidRPr="004D4BE7" w14:paraId="34ACA914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359DE0C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lastRenderedPageBreak/>
              <w:t>BAS</w:t>
            </w:r>
            <w:r w:rsidRPr="004D4BE7">
              <w:rPr>
                <w:sz w:val="16"/>
                <w:lang w:val="ru-RU"/>
              </w:rPr>
              <w:t>-</w:t>
            </w:r>
            <w:r>
              <w:rPr>
                <w:sz w:val="16"/>
              </w:rPr>
              <w:t>Fun</w:t>
            </w:r>
            <w:r w:rsidRPr="004D4BE7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Seeking</w:t>
            </w:r>
            <w:r w:rsidRPr="004D4BE7">
              <w:rPr>
                <w:sz w:val="16"/>
                <w:lang w:val="ru-RU"/>
              </w:rPr>
              <w:t xml:space="preserve"> / поиск удовольствий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9A8405C" w14:textId="77777777" w:rsidR="003A0B7E" w:rsidRDefault="00000000">
            <w:pPr>
              <w:jc w:val="center"/>
            </w:pPr>
            <w:r>
              <w:rPr>
                <w:sz w:val="16"/>
              </w:rPr>
              <w:t>12.15 (2.18)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6B9E6A2" w14:textId="77777777" w:rsidR="003A0B7E" w:rsidRDefault="00000000">
            <w:pPr>
              <w:jc w:val="center"/>
            </w:pPr>
            <w:r>
              <w:rPr>
                <w:sz w:val="16"/>
              </w:rPr>
              <w:t>12.56 (1.60)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4D1AD31" w14:textId="77777777" w:rsidR="003A0B7E" w:rsidRDefault="00000000">
            <w:pPr>
              <w:jc w:val="center"/>
            </w:pPr>
            <w:r>
              <w:rPr>
                <w:sz w:val="16"/>
              </w:rPr>
              <w:t>11.56 (1.78)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AEE108F" w14:textId="77777777" w:rsidR="003A0B7E" w:rsidRDefault="00000000">
            <w:pPr>
              <w:jc w:val="center"/>
            </w:pPr>
            <w:r>
              <w:rPr>
                <w:sz w:val="16"/>
              </w:rPr>
              <w:t>5.19pp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9FE1D08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(0.30);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(0.24);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(0.54</w:t>
            </w:r>
            <w:r>
              <w:rPr>
                <w:sz w:val="16"/>
              </w:rPr>
              <w:t>pp</w:t>
            </w:r>
            <w:r w:rsidRPr="004D4BE7">
              <w:rPr>
                <w:sz w:val="16"/>
                <w:lang w:val="ru-RU"/>
              </w:rPr>
              <w:t>)</w:t>
            </w:r>
          </w:p>
        </w:tc>
      </w:tr>
      <w:tr w:rsidR="003A0B7E" w:rsidRPr="004D4BE7" w14:paraId="0A9AAD3D" w14:textId="77777777">
        <w:trPr>
          <w:jc w:val="center"/>
        </w:trPr>
        <w:tc>
          <w:tcPr>
            <w:tcW w:w="238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EDF30B1" w14:textId="77777777" w:rsidR="003A0B7E" w:rsidRDefault="00000000">
            <w:proofErr w:type="spellStart"/>
            <w:r>
              <w:rPr>
                <w:sz w:val="16"/>
              </w:rPr>
              <w:t>Реакция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вознаграждение</w:t>
            </w:r>
            <w:proofErr w:type="spellEnd"/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35BDAA2" w14:textId="77777777" w:rsidR="003A0B7E" w:rsidRDefault="00000000">
            <w:pPr>
              <w:jc w:val="center"/>
            </w:pPr>
            <w:r>
              <w:rPr>
                <w:sz w:val="16"/>
              </w:rPr>
              <w:t>17.63 (2.18)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5DF34A4" w14:textId="77777777" w:rsidR="003A0B7E" w:rsidRDefault="00000000">
            <w:pPr>
              <w:jc w:val="center"/>
            </w:pPr>
            <w:r>
              <w:rPr>
                <w:sz w:val="16"/>
              </w:rPr>
              <w:t>17.42 (1.84)</w:t>
            </w:r>
          </w:p>
        </w:tc>
        <w:tc>
          <w:tcPr>
            <w:tcW w:w="2268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EF375D5" w14:textId="77777777" w:rsidR="003A0B7E" w:rsidRDefault="00000000">
            <w:pPr>
              <w:jc w:val="center"/>
            </w:pPr>
            <w:r>
              <w:rPr>
                <w:sz w:val="16"/>
              </w:rPr>
              <w:t>17.30 (2.03)</w:t>
            </w:r>
          </w:p>
        </w:tc>
        <w:tc>
          <w:tcPr>
            <w:tcW w:w="1020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CFC48B1" w14:textId="77777777" w:rsidR="003A0B7E" w:rsidRDefault="00000000">
            <w:pPr>
              <w:jc w:val="center"/>
            </w:pPr>
            <w:r>
              <w:rPr>
                <w:sz w:val="16"/>
              </w:rPr>
              <w:t>0.45</w:t>
            </w:r>
          </w:p>
        </w:tc>
        <w:tc>
          <w:tcPr>
            <w:tcW w:w="4932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57D7FC0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контроль (0.15); </w:t>
            </w:r>
            <w:r>
              <w:rPr>
                <w:sz w:val="16"/>
              </w:rPr>
              <w:t>GD</w:t>
            </w:r>
            <w:r w:rsidRPr="004D4BE7">
              <w:rPr>
                <w:sz w:val="16"/>
                <w:lang w:val="ru-RU"/>
              </w:rPr>
              <w:t xml:space="preserve"> &gt;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(0.09); </w:t>
            </w:r>
            <w:r>
              <w:rPr>
                <w:sz w:val="16"/>
              </w:rPr>
              <w:t>HG</w:t>
            </w:r>
            <w:r w:rsidRPr="004D4BE7">
              <w:rPr>
                <w:sz w:val="16"/>
                <w:lang w:val="ru-RU"/>
              </w:rPr>
              <w:t xml:space="preserve"> &gt; контроль (0.06)</w:t>
            </w:r>
          </w:p>
        </w:tc>
      </w:tr>
    </w:tbl>
    <w:p w14:paraId="6AF4B162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Примечание. </w:t>
      </w:r>
      <w:r>
        <w:rPr>
          <w:sz w:val="16"/>
        </w:rPr>
        <w:t>GD</w:t>
      </w:r>
      <w:r w:rsidRPr="004D4BE7">
        <w:rPr>
          <w:sz w:val="16"/>
          <w:lang w:val="ru-RU"/>
        </w:rPr>
        <w:t xml:space="preserve"> — игровое расстройство; </w:t>
      </w:r>
      <w:r>
        <w:rPr>
          <w:sz w:val="16"/>
        </w:rPr>
        <w:t>HG</w:t>
      </w:r>
      <w:r w:rsidRPr="004D4BE7">
        <w:rPr>
          <w:sz w:val="16"/>
          <w:lang w:val="ru-RU"/>
        </w:rPr>
        <w:t xml:space="preserve"> — опасный гейминг; </w:t>
      </w:r>
      <w:r>
        <w:rPr>
          <w:sz w:val="16"/>
        </w:rPr>
        <w:t>Control</w:t>
      </w:r>
      <w:r w:rsidRPr="004D4BE7">
        <w:rPr>
          <w:sz w:val="16"/>
          <w:lang w:val="ru-RU"/>
        </w:rPr>
        <w:t xml:space="preserve"> — контрольная группа.</w:t>
      </w:r>
    </w:p>
    <w:p w14:paraId="4845ED98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ADHD</w:t>
      </w:r>
      <w:r w:rsidRPr="004D4BE7">
        <w:rPr>
          <w:sz w:val="16"/>
          <w:lang w:val="ru-RU"/>
        </w:rPr>
        <w:t xml:space="preserve"> — синдром дефицита внимания и гиперактивности.</w:t>
      </w:r>
    </w:p>
    <w:p w14:paraId="3DB8B6C3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Депрессивное расстройство: лица с большим депрессивным эпизодом, большим депрессивным эпизодом в анамнезе или </w:t>
      </w:r>
      <w:proofErr w:type="spellStart"/>
      <w:r w:rsidRPr="004D4BE7">
        <w:rPr>
          <w:sz w:val="16"/>
          <w:lang w:val="ru-RU"/>
        </w:rPr>
        <w:t>персистирующим</w:t>
      </w:r>
      <w:proofErr w:type="spellEnd"/>
      <w:r w:rsidRPr="004D4BE7">
        <w:rPr>
          <w:sz w:val="16"/>
          <w:lang w:val="ru-RU"/>
        </w:rPr>
        <w:t xml:space="preserve"> депрессивным расстройством.</w:t>
      </w:r>
    </w:p>
    <w:p w14:paraId="724828CF" w14:textId="77777777" w:rsidR="003A0B7E" w:rsidRDefault="00000000">
      <w:pPr>
        <w:spacing w:after="20" w:line="240" w:lineRule="auto"/>
      </w:pPr>
      <w:r>
        <w:rPr>
          <w:sz w:val="16"/>
        </w:rPr>
        <w:t>CCPT — Conners’ Continuous Performance Test, 3-е издание.</w:t>
      </w:r>
    </w:p>
    <w:p w14:paraId="55528276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F</w:t>
      </w:r>
      <w:r w:rsidRPr="004D4BE7">
        <w:rPr>
          <w:sz w:val="16"/>
          <w:lang w:val="ru-RU"/>
        </w:rPr>
        <w:t xml:space="preserve"> — значение </w:t>
      </w:r>
      <w:r>
        <w:rPr>
          <w:sz w:val="16"/>
        </w:rPr>
        <w:t>F</w:t>
      </w:r>
      <w:r w:rsidRPr="004D4BE7">
        <w:rPr>
          <w:sz w:val="16"/>
          <w:lang w:val="ru-RU"/>
        </w:rPr>
        <w:t xml:space="preserve"> ковариационного анализа (</w:t>
      </w:r>
      <w:r>
        <w:rPr>
          <w:sz w:val="16"/>
        </w:rPr>
        <w:t>ANCOVA</w:t>
      </w:r>
      <w:r w:rsidRPr="004D4BE7">
        <w:rPr>
          <w:sz w:val="16"/>
          <w:lang w:val="ru-RU"/>
        </w:rPr>
        <w:t>) с контролем пола и возраста.</w:t>
      </w:r>
    </w:p>
    <w:p w14:paraId="5963CD0C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>Данные представлены как нескорректированное среднее ± стандартное отклонение.</w:t>
      </w:r>
    </w:p>
    <w:p w14:paraId="64BE1994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>† Отношение шансов скорректировано по полу и возрасту.</w:t>
      </w:r>
    </w:p>
    <w:p w14:paraId="6BE822E5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†† Значения </w:t>
      </w:r>
      <w:r>
        <w:rPr>
          <w:sz w:val="16"/>
        </w:rPr>
        <w:t>d</w:t>
      </w:r>
      <w:r w:rsidRPr="004D4BE7">
        <w:rPr>
          <w:sz w:val="16"/>
          <w:lang w:val="ru-RU"/>
        </w:rPr>
        <w:t xml:space="preserve"> Коэна рассчитывались по скорректированным средним и стандартным ошибкам.</w:t>
      </w:r>
    </w:p>
    <w:p w14:paraId="438FAD1E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p</w:t>
      </w:r>
      <w:r w:rsidRPr="004D4BE7">
        <w:rPr>
          <w:sz w:val="16"/>
          <w:lang w:val="ru-RU"/>
        </w:rPr>
        <w:t xml:space="preserve"> &lt; 0.05, </w:t>
      </w:r>
      <w:r>
        <w:rPr>
          <w:sz w:val="16"/>
        </w:rPr>
        <w:t>pp</w:t>
      </w:r>
      <w:r w:rsidRPr="004D4BE7">
        <w:rPr>
          <w:sz w:val="16"/>
          <w:lang w:val="ru-RU"/>
        </w:rPr>
        <w:t xml:space="preserve"> &lt; 0.01, </w:t>
      </w:r>
      <w:proofErr w:type="spellStart"/>
      <w:r>
        <w:rPr>
          <w:sz w:val="16"/>
        </w:rPr>
        <w:t>ppp</w:t>
      </w:r>
      <w:proofErr w:type="spellEnd"/>
      <w:r w:rsidRPr="004D4BE7">
        <w:rPr>
          <w:sz w:val="16"/>
          <w:lang w:val="ru-RU"/>
        </w:rPr>
        <w:t xml:space="preserve"> &lt; 0.001.</w:t>
      </w:r>
    </w:p>
    <w:p w14:paraId="79F13063" w14:textId="77777777" w:rsidR="003A0B7E" w:rsidRPr="004D4BE7" w:rsidRDefault="003A0B7E">
      <w:pPr>
        <w:rPr>
          <w:lang w:val="ru-RU"/>
        </w:rPr>
        <w:sectPr w:rsidR="003A0B7E" w:rsidRPr="004D4BE7">
          <w:pgSz w:w="16838" w:h="11906" w:orient="landscape"/>
          <w:pgMar w:top="907" w:right="907" w:bottom="907" w:left="907" w:header="720" w:footer="720" w:gutter="0"/>
          <w:cols w:space="720"/>
          <w:docGrid w:linePitch="360"/>
        </w:sectPr>
      </w:pPr>
    </w:p>
    <w:p w14:paraId="34DA33A9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lastRenderedPageBreak/>
        <w:t xml:space="preserve">Психиатрическая </w:t>
      </w:r>
      <w:proofErr w:type="spellStart"/>
      <w:r w:rsidRPr="004D4BE7">
        <w:rPr>
          <w:b/>
          <w:color w:val="373737"/>
          <w:sz w:val="26"/>
          <w:lang w:val="ru-RU"/>
        </w:rPr>
        <w:t>коморбидность</w:t>
      </w:r>
      <w:proofErr w:type="spellEnd"/>
      <w:r w:rsidRPr="004D4BE7">
        <w:rPr>
          <w:b/>
          <w:color w:val="373737"/>
          <w:sz w:val="26"/>
          <w:lang w:val="ru-RU"/>
        </w:rPr>
        <w:t xml:space="preserve"> </w:t>
      </w:r>
      <w:r>
        <w:rPr>
          <w:b/>
          <w:color w:val="373737"/>
          <w:sz w:val="26"/>
        </w:rPr>
        <w:t>GD</w:t>
      </w:r>
    </w:p>
    <w:p w14:paraId="31FCB13D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>
        <w:t>ADHD</w:t>
      </w:r>
      <w:r w:rsidRPr="004D4BE7">
        <w:rPr>
          <w:lang w:val="ru-RU"/>
        </w:rPr>
        <w:t xml:space="preserve"> у взрослых был диагностирован у 53.3% участников группы </w:t>
      </w:r>
      <w:r>
        <w:t>GD</w:t>
      </w:r>
      <w:r w:rsidRPr="004D4BE7">
        <w:rPr>
          <w:lang w:val="ru-RU"/>
        </w:rPr>
        <w:t xml:space="preserve">, у 33.3% участников группы </w:t>
      </w:r>
      <w:r>
        <w:t>HG</w:t>
      </w:r>
      <w:r w:rsidRPr="004D4BE7">
        <w:rPr>
          <w:lang w:val="ru-RU"/>
        </w:rPr>
        <w:t xml:space="preserve"> и у 6.7% участников контрольной группы (</w:t>
      </w:r>
      <w:r>
        <w:t>χ</w:t>
      </w:r>
      <w:r w:rsidRPr="004D4BE7">
        <w:rPr>
          <w:lang w:val="ru-RU"/>
        </w:rPr>
        <w:t xml:space="preserve">² = 49.57; </w:t>
      </w:r>
      <w:r>
        <w:t>p</w:t>
      </w:r>
      <w:r w:rsidRPr="004D4BE7">
        <w:rPr>
          <w:lang w:val="ru-RU"/>
        </w:rPr>
        <w:t xml:space="preserve"> &lt; 0.001). У участников с </w:t>
      </w:r>
      <w:r>
        <w:t>ADHD</w:t>
      </w:r>
      <w:r w:rsidRPr="004D4BE7">
        <w:rPr>
          <w:lang w:val="ru-RU"/>
        </w:rPr>
        <w:t xml:space="preserve"> отношение шансов наличия </w:t>
      </w:r>
      <w:r>
        <w:t>GD</w:t>
      </w:r>
      <w:r w:rsidRPr="004D4BE7">
        <w:rPr>
          <w:lang w:val="ru-RU"/>
        </w:rPr>
        <w:t xml:space="preserve"> составляло 16.00 (95% ДИ [6.61; 38.75]), а отношение шансов наличия </w:t>
      </w:r>
      <w:r>
        <w:t>HG</w:t>
      </w:r>
      <w:r w:rsidRPr="004D4BE7">
        <w:rPr>
          <w:lang w:val="ru-RU"/>
        </w:rPr>
        <w:t xml:space="preserve"> — 6.81 (95% ДИ [2.63; 17.63]) по сравнению с контролем (табл. 1). Кроме того, у 36.7% участников группы </w:t>
      </w:r>
      <w:r>
        <w:t>GD</w:t>
      </w:r>
      <w:r w:rsidRPr="004D4BE7">
        <w:rPr>
          <w:lang w:val="ru-RU"/>
        </w:rPr>
        <w:t xml:space="preserve">, 6.7% группы </w:t>
      </w:r>
      <w:r>
        <w:t>HG</w:t>
      </w:r>
      <w:r w:rsidRPr="004D4BE7">
        <w:rPr>
          <w:lang w:val="ru-RU"/>
        </w:rPr>
        <w:t xml:space="preserve"> и 5.0% контрольной группы были диагностированы депрессивный эпизод, </w:t>
      </w:r>
      <w:proofErr w:type="spellStart"/>
      <w:r w:rsidRPr="004D4BE7">
        <w:rPr>
          <w:lang w:val="ru-RU"/>
        </w:rPr>
        <w:t>персистирующее</w:t>
      </w:r>
      <w:proofErr w:type="spellEnd"/>
      <w:r w:rsidRPr="004D4BE7">
        <w:rPr>
          <w:lang w:val="ru-RU"/>
        </w:rPr>
        <w:t xml:space="preserve"> депрессивное расстройство или депрессия в анамнезе (</w:t>
      </w:r>
      <w:r>
        <w:t>χ</w:t>
      </w:r>
      <w:r w:rsidRPr="004D4BE7">
        <w:rPr>
          <w:lang w:val="ru-RU"/>
        </w:rPr>
        <w:t xml:space="preserve">² = 36.16; </w:t>
      </w:r>
      <w:r>
        <w:t>p</w:t>
      </w:r>
      <w:r w:rsidRPr="004D4BE7">
        <w:rPr>
          <w:lang w:val="ru-RU"/>
        </w:rPr>
        <w:t xml:space="preserve"> </w:t>
      </w:r>
      <w:proofErr w:type="gramStart"/>
      <w:r w:rsidRPr="004D4BE7">
        <w:rPr>
          <w:lang w:val="ru-RU"/>
        </w:rPr>
        <w:t>&lt; 0.001</w:t>
      </w:r>
      <w:proofErr w:type="gramEnd"/>
      <w:r w:rsidRPr="004D4BE7">
        <w:rPr>
          <w:lang w:val="ru-RU"/>
        </w:rPr>
        <w:t xml:space="preserve">). Наличие депрессивного эпизода, депрессивного расстройства или депрессии в анамнезе было связано с более высоким отношением шансов </w:t>
      </w:r>
      <w:r>
        <w:t>GD</w:t>
      </w:r>
      <w:r w:rsidRPr="004D4BE7">
        <w:rPr>
          <w:lang w:val="ru-RU"/>
        </w:rPr>
        <w:t xml:space="preserve"> — 11.47 (95% ДИ [4.28; 30.74]) (табл. 1). Кроме того, </w:t>
      </w:r>
      <w:r>
        <w:t>GAD</w:t>
      </w:r>
      <w:r w:rsidRPr="004D4BE7">
        <w:rPr>
          <w:lang w:val="ru-RU"/>
        </w:rPr>
        <w:t xml:space="preserve"> было диагностировано у 30% участников группы </w:t>
      </w:r>
      <w:r>
        <w:t>GD</w:t>
      </w:r>
      <w:r w:rsidRPr="004D4BE7">
        <w:rPr>
          <w:lang w:val="ru-RU"/>
        </w:rPr>
        <w:t xml:space="preserve">, у 15.6% группы </w:t>
      </w:r>
      <w:r>
        <w:t>HG</w:t>
      </w:r>
      <w:r w:rsidRPr="004D4BE7">
        <w:rPr>
          <w:lang w:val="ru-RU"/>
        </w:rPr>
        <w:t xml:space="preserve"> и у 4.2% контрольной группы (</w:t>
      </w:r>
      <w:r>
        <w:t>χ</w:t>
      </w:r>
      <w:r w:rsidRPr="004D4BE7">
        <w:rPr>
          <w:lang w:val="ru-RU"/>
        </w:rPr>
        <w:t xml:space="preserve">² = 23.34; </w:t>
      </w:r>
      <w:r>
        <w:t>p</w:t>
      </w:r>
      <w:r w:rsidRPr="004D4BE7">
        <w:rPr>
          <w:lang w:val="ru-RU"/>
        </w:rPr>
        <w:t xml:space="preserve"> </w:t>
      </w:r>
      <w:proofErr w:type="gramStart"/>
      <w:r w:rsidRPr="004D4BE7">
        <w:rPr>
          <w:lang w:val="ru-RU"/>
        </w:rPr>
        <w:t>&lt; 0.001</w:t>
      </w:r>
      <w:proofErr w:type="gramEnd"/>
      <w:r w:rsidRPr="004D4BE7">
        <w:rPr>
          <w:lang w:val="ru-RU"/>
        </w:rPr>
        <w:t xml:space="preserve">). Участники с </w:t>
      </w:r>
      <w:r>
        <w:t>GAD</w:t>
      </w:r>
      <w:r w:rsidRPr="004D4BE7">
        <w:rPr>
          <w:lang w:val="ru-RU"/>
        </w:rPr>
        <w:t xml:space="preserve"> имели более высокое отношение шансов наличия </w:t>
      </w:r>
      <w:r>
        <w:t>GD</w:t>
      </w:r>
      <w:r w:rsidRPr="004D4BE7">
        <w:rPr>
          <w:lang w:val="ru-RU"/>
        </w:rPr>
        <w:t xml:space="preserve"> — 10.33 (95% ДИ [3.52; 30.31]) и более высокое отношение шансов наличия </w:t>
      </w:r>
      <w:r>
        <w:t>HG</w:t>
      </w:r>
      <w:r w:rsidRPr="004D4BE7">
        <w:rPr>
          <w:lang w:val="ru-RU"/>
        </w:rPr>
        <w:t xml:space="preserve"> — 4.15 (95% ДИ [1.24; 13.92]) по сравнению с контролем (табл. 1). Наконец, </w:t>
      </w:r>
      <w:r>
        <w:t>SAD</w:t>
      </w:r>
      <w:r w:rsidRPr="004D4BE7">
        <w:rPr>
          <w:lang w:val="ru-RU"/>
        </w:rPr>
        <w:t xml:space="preserve"> было диагностировано у 8.3% участников группы </w:t>
      </w:r>
      <w:r>
        <w:t>GD</w:t>
      </w:r>
      <w:r w:rsidRPr="004D4BE7">
        <w:rPr>
          <w:lang w:val="ru-RU"/>
        </w:rPr>
        <w:t xml:space="preserve">, у 2.2% группы </w:t>
      </w:r>
      <w:r>
        <w:t>HG</w:t>
      </w:r>
      <w:r w:rsidRPr="004D4BE7">
        <w:rPr>
          <w:lang w:val="ru-RU"/>
        </w:rPr>
        <w:t xml:space="preserve"> и у 1.7% контролей (</w:t>
      </w:r>
      <w:r>
        <w:t>χ</w:t>
      </w:r>
      <w:r w:rsidRPr="004D4BE7">
        <w:rPr>
          <w:lang w:val="ru-RU"/>
        </w:rPr>
        <w:t xml:space="preserve">² = 5.48; </w:t>
      </w:r>
      <w:r>
        <w:t>p</w:t>
      </w:r>
      <w:r w:rsidRPr="004D4BE7">
        <w:rPr>
          <w:lang w:val="ru-RU"/>
        </w:rPr>
        <w:t xml:space="preserve"> = 0.07). Участники с </w:t>
      </w:r>
      <w:r>
        <w:t>SAD</w:t>
      </w:r>
      <w:r w:rsidRPr="004D4BE7">
        <w:rPr>
          <w:lang w:val="ru-RU"/>
        </w:rPr>
        <w:t xml:space="preserve"> имели более высокое отношение шансов наличия </w:t>
      </w:r>
      <w:r>
        <w:t>GD</w:t>
      </w:r>
      <w:r w:rsidRPr="004D4BE7">
        <w:rPr>
          <w:lang w:val="ru-RU"/>
        </w:rPr>
        <w:t xml:space="preserve"> по сравнению с контролем — 5.74 (95% ДИ [1.02; 32.27]).</w:t>
      </w:r>
    </w:p>
    <w:p w14:paraId="462838A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Модель регрессии, в которой </w:t>
      </w:r>
      <w:r>
        <w:t>GD</w:t>
      </w:r>
      <w:r w:rsidRPr="004D4BE7">
        <w:rPr>
          <w:lang w:val="ru-RU"/>
        </w:rPr>
        <w:t xml:space="preserve"> прогнозировалось на основе психиатрической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, была статистически значимой: </w:t>
      </w:r>
      <w:r>
        <w:t>χ</w:t>
      </w:r>
      <w:r w:rsidRPr="004D4BE7">
        <w:rPr>
          <w:lang w:val="ru-RU"/>
        </w:rPr>
        <w:t xml:space="preserve">² = 79.04, </w:t>
      </w:r>
      <w:r>
        <w:t>p</w:t>
      </w:r>
      <w:r w:rsidRPr="004D4BE7">
        <w:rPr>
          <w:lang w:val="ru-RU"/>
        </w:rPr>
        <w:t xml:space="preserve"> </w:t>
      </w:r>
      <w:proofErr w:type="gramStart"/>
      <w:r w:rsidRPr="004D4BE7">
        <w:rPr>
          <w:lang w:val="ru-RU"/>
        </w:rPr>
        <w:t>&lt; 0.001</w:t>
      </w:r>
      <w:proofErr w:type="gramEnd"/>
      <w:r w:rsidRPr="004D4BE7">
        <w:rPr>
          <w:lang w:val="ru-RU"/>
        </w:rPr>
        <w:t xml:space="preserve"> (модель 1 в табл. 2). Она объясняла 49.4% дисперсии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Nagelkerke</w:t>
      </w:r>
      <w:proofErr w:type="spellEnd"/>
      <w:r w:rsidRPr="004D4BE7">
        <w:rPr>
          <w:lang w:val="ru-RU"/>
        </w:rPr>
        <w:t xml:space="preserve"> </w:t>
      </w:r>
      <w:r>
        <w:t>R</w:t>
      </w:r>
      <w:r w:rsidRPr="004D4BE7">
        <w:rPr>
          <w:lang w:val="ru-RU"/>
        </w:rPr>
        <w:t xml:space="preserve">²) и правильно классифицировала 82.2% участников. Значимыми предикторами в модели были </w:t>
      </w:r>
      <w:r>
        <w:t>ADHD</w:t>
      </w:r>
      <w:r w:rsidRPr="004D4BE7">
        <w:rPr>
          <w:lang w:val="ru-RU"/>
        </w:rPr>
        <w:t xml:space="preserve"> у взрослых (отношение шансов = 13.15; 95% ДИ = 4.98–34.71), депрессивное расстройство (отношение шансов = 8.04; 95% ДИ = 2.61–24.76) и </w:t>
      </w:r>
      <w:r>
        <w:t>GAD</w:t>
      </w:r>
      <w:r w:rsidRPr="004D4BE7">
        <w:rPr>
          <w:lang w:val="ru-RU"/>
        </w:rPr>
        <w:t xml:space="preserve"> (отношение шансов = 5.16; 95% ДИ = 1.41–18.95).</w:t>
      </w:r>
    </w:p>
    <w:p w14:paraId="1011D05C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Аналогичная модель для </w:t>
      </w:r>
      <w:r>
        <w:t>HG</w:t>
      </w:r>
      <w:r w:rsidRPr="004D4BE7">
        <w:rPr>
          <w:lang w:val="ru-RU"/>
        </w:rPr>
        <w:t xml:space="preserve"> по сравнению с контролем также была статистически значимой: </w:t>
      </w:r>
      <w:r>
        <w:t>χ</w:t>
      </w:r>
      <w:r w:rsidRPr="004D4BE7">
        <w:rPr>
          <w:lang w:val="ru-RU"/>
        </w:rPr>
        <w:t xml:space="preserve">² = 21.30, </w:t>
      </w:r>
      <w:r>
        <w:t>p</w:t>
      </w:r>
      <w:r w:rsidRPr="004D4BE7">
        <w:rPr>
          <w:lang w:val="ru-RU"/>
        </w:rPr>
        <w:t xml:space="preserve"> = 0.002 (модель 1 в табл. 3). Она объясняла 17.5% дисперсии </w:t>
      </w:r>
      <w:r>
        <w:t>HG</w:t>
      </w:r>
      <w:r w:rsidRPr="004D4BE7">
        <w:rPr>
          <w:lang w:val="ru-RU"/>
        </w:rPr>
        <w:t xml:space="preserve"> (</w:t>
      </w:r>
      <w:proofErr w:type="spellStart"/>
      <w:r>
        <w:t>Nagelkerke</w:t>
      </w:r>
      <w:proofErr w:type="spellEnd"/>
      <w:r w:rsidRPr="004D4BE7">
        <w:rPr>
          <w:lang w:val="ru-RU"/>
        </w:rPr>
        <w:t xml:space="preserve"> </w:t>
      </w:r>
      <w:r>
        <w:t>R</w:t>
      </w:r>
      <w:r w:rsidRPr="004D4BE7">
        <w:rPr>
          <w:lang w:val="ru-RU"/>
        </w:rPr>
        <w:t xml:space="preserve">²) и правильно классифицировала 76.4% участников. Единственным значимым предиктором оказался </w:t>
      </w:r>
      <w:r>
        <w:t>ADHD</w:t>
      </w:r>
      <w:r w:rsidRPr="004D4BE7">
        <w:rPr>
          <w:lang w:val="ru-RU"/>
        </w:rPr>
        <w:t xml:space="preserve"> у взрослых (отношение шансов = 6.35; 95% ДИ = 2.40–16.77). Иными словами, лица с </w:t>
      </w:r>
      <w:r>
        <w:t>ADHD</w:t>
      </w:r>
      <w:r w:rsidRPr="004D4BE7">
        <w:rPr>
          <w:lang w:val="ru-RU"/>
        </w:rPr>
        <w:t xml:space="preserve"> у взрослых в 6.35 раза чаще получали диагноз </w:t>
      </w:r>
      <w:r>
        <w:t>HG</w:t>
      </w:r>
      <w:r w:rsidRPr="004D4BE7">
        <w:rPr>
          <w:lang w:val="ru-RU"/>
        </w:rPr>
        <w:t xml:space="preserve">, чем лица без </w:t>
      </w:r>
      <w:r>
        <w:t>ADHD</w:t>
      </w:r>
      <w:r w:rsidRPr="004D4BE7">
        <w:rPr>
          <w:lang w:val="ru-RU"/>
        </w:rPr>
        <w:t xml:space="preserve"> у взрослых (95% ДИ = 2.40–16.77).</w:t>
      </w:r>
    </w:p>
    <w:p w14:paraId="167318AA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Аналогичная модель для </w:t>
      </w:r>
      <w:r>
        <w:t>GD</w:t>
      </w:r>
      <w:r w:rsidRPr="004D4BE7">
        <w:rPr>
          <w:lang w:val="ru-RU"/>
        </w:rPr>
        <w:t xml:space="preserve"> по сравнению с </w:t>
      </w:r>
      <w:r>
        <w:t>HG</w:t>
      </w:r>
      <w:r w:rsidRPr="004D4BE7">
        <w:rPr>
          <w:lang w:val="ru-RU"/>
        </w:rPr>
        <w:t xml:space="preserve"> была статистически значимой: </w:t>
      </w:r>
      <w:r>
        <w:t>χ</w:t>
      </w:r>
      <w:r w:rsidRPr="004D4BE7">
        <w:rPr>
          <w:lang w:val="ru-RU"/>
        </w:rPr>
        <w:t xml:space="preserve">² = 22.87, </w:t>
      </w:r>
      <w:r>
        <w:t>p</w:t>
      </w:r>
      <w:r w:rsidRPr="004D4BE7">
        <w:rPr>
          <w:lang w:val="ru-RU"/>
        </w:rPr>
        <w:t xml:space="preserve"> = 0.001 (модель 1 в табл. 4). Она объясняла 26.3% дисперсии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Nagelkerke</w:t>
      </w:r>
      <w:proofErr w:type="spellEnd"/>
      <w:r w:rsidRPr="004D4BE7">
        <w:rPr>
          <w:lang w:val="ru-RU"/>
        </w:rPr>
        <w:t xml:space="preserve"> </w:t>
      </w:r>
      <w:r>
        <w:t>R</w:t>
      </w:r>
      <w:r w:rsidRPr="004D4BE7">
        <w:rPr>
          <w:lang w:val="ru-RU"/>
        </w:rPr>
        <w:t>²) и правильно классифицировала 67.6% участников. Единственным значимым предиктором в модели были депрессивные расстройства (отношение шансов = 7.51; 95% ДИ = 2.01–28.04).</w:t>
      </w:r>
    </w:p>
    <w:p w14:paraId="5885F0EC" w14:textId="77777777" w:rsidR="003A0B7E" w:rsidRPr="004D4BE7" w:rsidRDefault="00000000">
      <w:pPr>
        <w:spacing w:before="160" w:after="60"/>
        <w:rPr>
          <w:lang w:val="ru-RU"/>
        </w:rPr>
      </w:pPr>
      <w:r w:rsidRPr="004D4BE7">
        <w:rPr>
          <w:b/>
          <w:sz w:val="22"/>
          <w:lang w:val="ru-RU"/>
        </w:rPr>
        <w:t>Таблица 2. Логистическая регрессия, оценивающая связь психиатрических расстройств и факторов риска с игровым расстройством (</w:t>
      </w:r>
      <w:r>
        <w:rPr>
          <w:b/>
          <w:sz w:val="22"/>
        </w:rPr>
        <w:t>GD</w:t>
      </w:r>
      <w:r w:rsidRPr="004D4BE7">
        <w:rPr>
          <w:b/>
          <w:sz w:val="22"/>
          <w:lang w:val="ru-RU"/>
        </w:rPr>
        <w:t>), с поправкой на пол и возраст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6"/>
        <w:gridCol w:w="1531"/>
        <w:gridCol w:w="3175"/>
      </w:tblGrid>
      <w:tr w:rsidR="003A0B7E" w14:paraId="3462D63F" w14:textId="77777777">
        <w:trPr>
          <w:jc w:val="center"/>
        </w:trPr>
        <w:tc>
          <w:tcPr>
            <w:tcW w:w="5216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786C4C" w14:textId="77777777" w:rsidR="003A0B7E" w:rsidRPr="004D4BE7" w:rsidRDefault="00000000">
            <w:pPr>
              <w:jc w:val="center"/>
              <w:rPr>
                <w:lang w:val="ru-RU"/>
              </w:rPr>
            </w:pPr>
            <w:r>
              <w:rPr>
                <w:b/>
                <w:sz w:val="18"/>
              </w:rPr>
              <w:t>GD</w:t>
            </w:r>
            <w:r w:rsidRPr="004D4BE7">
              <w:rPr>
                <w:b/>
                <w:sz w:val="18"/>
                <w:lang w:val="ru-RU"/>
              </w:rPr>
              <w:t xml:space="preserve"> по сравнению с контролем</w:t>
            </w:r>
          </w:p>
        </w:tc>
        <w:tc>
          <w:tcPr>
            <w:tcW w:w="1531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DF5BEE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Wald χ²</w:t>
            </w:r>
          </w:p>
        </w:tc>
        <w:tc>
          <w:tcPr>
            <w:tcW w:w="3175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D67567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Отношение шансов (95% ДИ)</w:t>
            </w:r>
          </w:p>
        </w:tc>
      </w:tr>
      <w:tr w:rsidR="003A0B7E" w14:paraId="656EE7D2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EC20308" w14:textId="77777777" w:rsidR="003A0B7E" w:rsidRDefault="00000000">
            <w:r>
              <w:rPr>
                <w:sz w:val="18"/>
              </w:rPr>
              <w:t>Модель 1: психиатрическая коморбидность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3FB2313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47D4939" w14:textId="77777777" w:rsidR="003A0B7E" w:rsidRDefault="003A0B7E">
            <w:pPr>
              <w:jc w:val="center"/>
            </w:pPr>
          </w:p>
        </w:tc>
      </w:tr>
      <w:tr w:rsidR="003A0B7E" w14:paraId="0EE4F49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AC05481" w14:textId="77777777" w:rsidR="003A0B7E" w:rsidRDefault="00000000">
            <w:r>
              <w:rPr>
                <w:sz w:val="18"/>
              </w:rPr>
              <w:t>Пол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F76C44F" w14:textId="77777777" w:rsidR="003A0B7E" w:rsidRDefault="00000000">
            <w:pPr>
              <w:jc w:val="center"/>
            </w:pPr>
            <w:r>
              <w:rPr>
                <w:sz w:val="18"/>
              </w:rPr>
              <w:t>2.20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A55F6AC" w14:textId="77777777" w:rsidR="003A0B7E" w:rsidRDefault="00000000">
            <w:pPr>
              <w:jc w:val="center"/>
            </w:pPr>
            <w:r>
              <w:rPr>
                <w:sz w:val="18"/>
              </w:rPr>
              <w:t>2.45 (0.75–8.00)</w:t>
            </w:r>
          </w:p>
        </w:tc>
      </w:tr>
      <w:tr w:rsidR="003A0B7E" w14:paraId="49CE0307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087D8A4" w14:textId="77777777" w:rsidR="003A0B7E" w:rsidRDefault="00000000">
            <w:r>
              <w:rPr>
                <w:sz w:val="18"/>
              </w:rPr>
              <w:t>Возраст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68EBD41" w14:textId="77777777" w:rsidR="003A0B7E" w:rsidRDefault="00000000">
            <w:pPr>
              <w:jc w:val="center"/>
            </w:pPr>
            <w:r>
              <w:rPr>
                <w:sz w:val="18"/>
              </w:rPr>
              <w:t>0.39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CFF50DD" w14:textId="77777777" w:rsidR="003A0B7E" w:rsidRDefault="00000000">
            <w:pPr>
              <w:jc w:val="center"/>
            </w:pPr>
            <w:r>
              <w:rPr>
                <w:sz w:val="18"/>
              </w:rPr>
              <w:t>0.97 (0.89–1.07)</w:t>
            </w:r>
          </w:p>
        </w:tc>
      </w:tr>
      <w:tr w:rsidR="003A0B7E" w14:paraId="18177B9B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F570E16" w14:textId="77777777" w:rsidR="003A0B7E" w:rsidRDefault="00000000">
            <w:r>
              <w:rPr>
                <w:sz w:val="18"/>
              </w:rPr>
              <w:t>ADHD у взрослых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9C46D6F" w14:textId="77777777" w:rsidR="003A0B7E" w:rsidRDefault="00000000">
            <w:pPr>
              <w:jc w:val="center"/>
            </w:pPr>
            <w:r>
              <w:rPr>
                <w:sz w:val="18"/>
              </w:rPr>
              <w:t>27.07ppp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FA71684" w14:textId="77777777" w:rsidR="003A0B7E" w:rsidRDefault="00000000">
            <w:pPr>
              <w:jc w:val="center"/>
            </w:pPr>
            <w:r>
              <w:rPr>
                <w:sz w:val="18"/>
              </w:rPr>
              <w:t>13.15 (4.98–34.71)</w:t>
            </w:r>
          </w:p>
        </w:tc>
      </w:tr>
      <w:tr w:rsidR="003A0B7E" w14:paraId="32521934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7ED9EE2" w14:textId="77777777" w:rsidR="003A0B7E" w:rsidRDefault="00000000">
            <w:r>
              <w:rPr>
                <w:sz w:val="18"/>
              </w:rPr>
              <w:t>Депрессивное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1F51912" w14:textId="77777777" w:rsidR="003A0B7E" w:rsidRDefault="00000000">
            <w:pPr>
              <w:jc w:val="center"/>
            </w:pPr>
            <w:r>
              <w:rPr>
                <w:sz w:val="18"/>
              </w:rPr>
              <w:t>13.18ppp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2CFA0A1" w14:textId="77777777" w:rsidR="003A0B7E" w:rsidRDefault="00000000">
            <w:pPr>
              <w:jc w:val="center"/>
            </w:pPr>
            <w:r>
              <w:rPr>
                <w:sz w:val="18"/>
              </w:rPr>
              <w:t>8.04 (2.61–24.76)</w:t>
            </w:r>
          </w:p>
        </w:tc>
      </w:tr>
      <w:tr w:rsidR="003A0B7E" w14:paraId="2F06FABE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29DBC21" w14:textId="77777777" w:rsidR="003A0B7E" w:rsidRDefault="00000000">
            <w:r>
              <w:rPr>
                <w:sz w:val="18"/>
              </w:rPr>
              <w:lastRenderedPageBreak/>
              <w:t>Генерализованное тревожное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8470878" w14:textId="77777777" w:rsidR="003A0B7E" w:rsidRDefault="00000000">
            <w:pPr>
              <w:jc w:val="center"/>
            </w:pPr>
            <w:r>
              <w:rPr>
                <w:sz w:val="18"/>
              </w:rPr>
              <w:t>6.12p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81CAC32" w14:textId="77777777" w:rsidR="003A0B7E" w:rsidRDefault="00000000">
            <w:pPr>
              <w:jc w:val="center"/>
            </w:pPr>
            <w:r>
              <w:rPr>
                <w:sz w:val="18"/>
              </w:rPr>
              <w:t>5.16 (1.41–18.95)</w:t>
            </w:r>
          </w:p>
        </w:tc>
      </w:tr>
      <w:tr w:rsidR="003A0B7E" w14:paraId="3FA6BC49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9CE192D" w14:textId="77777777" w:rsidR="003A0B7E" w:rsidRDefault="00000000">
            <w:r>
              <w:rPr>
                <w:sz w:val="18"/>
              </w:rPr>
              <w:t>Социальное тревожное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2A89822" w14:textId="77777777" w:rsidR="003A0B7E" w:rsidRDefault="00000000">
            <w:pPr>
              <w:jc w:val="center"/>
            </w:pPr>
            <w:r>
              <w:rPr>
                <w:sz w:val="18"/>
              </w:rPr>
              <w:t>2.79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8E12074" w14:textId="77777777" w:rsidR="003A0B7E" w:rsidRDefault="00000000">
            <w:pPr>
              <w:jc w:val="center"/>
            </w:pPr>
            <w:r>
              <w:rPr>
                <w:sz w:val="18"/>
              </w:rPr>
              <w:t>6.68 (0.72–61.98)</w:t>
            </w:r>
          </w:p>
        </w:tc>
      </w:tr>
      <w:tr w:rsidR="003A0B7E" w14:paraId="4B2C068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A92148F" w14:textId="77777777" w:rsidR="003A0B7E" w:rsidRDefault="00000000">
            <w:r>
              <w:rPr>
                <w:sz w:val="18"/>
              </w:rPr>
              <w:t>Критерий χ²: 79.04ppp; Nagelkerke R² = 49.4%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12B9C32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11419BC" w14:textId="77777777" w:rsidR="003A0B7E" w:rsidRDefault="003A0B7E">
            <w:pPr>
              <w:jc w:val="center"/>
            </w:pPr>
          </w:p>
        </w:tc>
      </w:tr>
      <w:tr w:rsidR="003A0B7E" w14:paraId="5D5A30C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30362F3" w14:textId="77777777" w:rsidR="003A0B7E" w:rsidRDefault="00000000">
            <w:r>
              <w:rPr>
                <w:sz w:val="18"/>
              </w:rPr>
              <w:t>Модель 2: факторы риска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3F7F26C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A1BF386" w14:textId="77777777" w:rsidR="003A0B7E" w:rsidRDefault="003A0B7E">
            <w:pPr>
              <w:jc w:val="center"/>
            </w:pPr>
          </w:p>
        </w:tc>
      </w:tr>
      <w:tr w:rsidR="003A0B7E" w14:paraId="6C0D830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80EE922" w14:textId="77777777" w:rsidR="003A0B7E" w:rsidRDefault="00000000">
            <w:r>
              <w:rPr>
                <w:sz w:val="18"/>
              </w:rPr>
              <w:t>Пол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F12B431" w14:textId="77777777" w:rsidR="003A0B7E" w:rsidRDefault="00000000">
            <w:pPr>
              <w:jc w:val="center"/>
            </w:pPr>
            <w:r>
              <w:rPr>
                <w:sz w:val="18"/>
              </w:rPr>
              <w:t>3.41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B97726D" w14:textId="77777777" w:rsidR="003A0B7E" w:rsidRDefault="00000000">
            <w:pPr>
              <w:jc w:val="center"/>
            </w:pPr>
            <w:r>
              <w:rPr>
                <w:sz w:val="18"/>
              </w:rPr>
              <w:t>2.77 (0.94–8.14)</w:t>
            </w:r>
          </w:p>
        </w:tc>
      </w:tr>
      <w:tr w:rsidR="003A0B7E" w14:paraId="669581B2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D68B607" w14:textId="77777777" w:rsidR="003A0B7E" w:rsidRDefault="00000000">
            <w:r>
              <w:rPr>
                <w:sz w:val="18"/>
              </w:rPr>
              <w:t>Возраст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51C0895" w14:textId="77777777" w:rsidR="003A0B7E" w:rsidRDefault="00000000">
            <w:pPr>
              <w:jc w:val="center"/>
            </w:pPr>
            <w:r>
              <w:rPr>
                <w:sz w:val="18"/>
              </w:rPr>
              <w:t>0.01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F81EE07" w14:textId="77777777" w:rsidR="003A0B7E" w:rsidRDefault="00000000">
            <w:pPr>
              <w:jc w:val="center"/>
            </w:pPr>
            <w:r>
              <w:rPr>
                <w:sz w:val="18"/>
              </w:rPr>
              <w:t>1.00 (0.91–1.10)</w:t>
            </w:r>
          </w:p>
        </w:tc>
      </w:tr>
      <w:tr w:rsidR="003A0B7E" w14:paraId="4DDF6EA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09D6CF3" w14:textId="77777777" w:rsidR="003A0B7E" w:rsidRDefault="00000000">
            <w:r>
              <w:rPr>
                <w:sz w:val="18"/>
              </w:rPr>
              <w:t>CCPT: различительная способность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2694D3F" w14:textId="77777777" w:rsidR="003A0B7E" w:rsidRDefault="00000000">
            <w:pPr>
              <w:jc w:val="center"/>
            </w:pPr>
            <w:r>
              <w:rPr>
                <w:sz w:val="18"/>
              </w:rPr>
              <w:t>1.88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CC50863" w14:textId="77777777" w:rsidR="003A0B7E" w:rsidRDefault="00000000">
            <w:pPr>
              <w:jc w:val="center"/>
            </w:pPr>
            <w:r>
              <w:rPr>
                <w:sz w:val="18"/>
              </w:rPr>
              <w:t>0.88 (0.73–1.06)</w:t>
            </w:r>
          </w:p>
        </w:tc>
      </w:tr>
      <w:tr w:rsidR="003A0B7E" w14:paraId="1849708D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FA58984" w14:textId="77777777" w:rsidR="003A0B7E" w:rsidRDefault="00000000">
            <w:r>
              <w:rPr>
                <w:sz w:val="18"/>
              </w:rPr>
              <w:t>CCPT: ошибки пропуска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C9935F0" w14:textId="77777777" w:rsidR="003A0B7E" w:rsidRDefault="00000000">
            <w:pPr>
              <w:jc w:val="center"/>
            </w:pPr>
            <w:r>
              <w:rPr>
                <w:sz w:val="18"/>
              </w:rPr>
              <w:t>0.56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CB71FBC" w14:textId="77777777" w:rsidR="003A0B7E" w:rsidRDefault="00000000">
            <w:pPr>
              <w:jc w:val="center"/>
            </w:pPr>
            <w:r>
              <w:rPr>
                <w:sz w:val="18"/>
              </w:rPr>
              <w:t>1.05 (0.92–1.20)</w:t>
            </w:r>
          </w:p>
        </w:tc>
      </w:tr>
      <w:tr w:rsidR="003A0B7E" w14:paraId="103CED92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46F916F" w14:textId="77777777" w:rsidR="003A0B7E" w:rsidRDefault="00000000">
            <w:r>
              <w:rPr>
                <w:sz w:val="18"/>
              </w:rPr>
              <w:t>CCPT: ошибки совершения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72B42B6" w14:textId="77777777" w:rsidR="003A0B7E" w:rsidRDefault="00000000">
            <w:pPr>
              <w:jc w:val="center"/>
            </w:pPr>
            <w:r>
              <w:rPr>
                <w:sz w:val="18"/>
              </w:rPr>
              <w:t>1.46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1AB35D5" w14:textId="77777777" w:rsidR="003A0B7E" w:rsidRDefault="00000000">
            <w:pPr>
              <w:jc w:val="center"/>
            </w:pPr>
            <w:r>
              <w:rPr>
                <w:sz w:val="18"/>
              </w:rPr>
              <w:t>1.09 (0.95–1.24)</w:t>
            </w:r>
          </w:p>
        </w:tc>
      </w:tr>
      <w:tr w:rsidR="003A0B7E" w14:paraId="0DF22205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C72AE91" w14:textId="77777777" w:rsidR="003A0B7E" w:rsidRDefault="00000000">
            <w:r>
              <w:rPr>
                <w:sz w:val="18"/>
              </w:rPr>
              <w:t>CCPT: персеверации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69FB0D1" w14:textId="77777777" w:rsidR="003A0B7E" w:rsidRDefault="00000000">
            <w:pPr>
              <w:jc w:val="center"/>
            </w:pPr>
            <w:r>
              <w:rPr>
                <w:sz w:val="18"/>
              </w:rPr>
              <w:t>4.14p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74F07FC" w14:textId="77777777" w:rsidR="003A0B7E" w:rsidRDefault="00000000">
            <w:pPr>
              <w:jc w:val="center"/>
            </w:pPr>
            <w:r>
              <w:rPr>
                <w:sz w:val="18"/>
              </w:rPr>
              <w:t>1.09 (1.00–1.19)</w:t>
            </w:r>
          </w:p>
        </w:tc>
      </w:tr>
      <w:tr w:rsidR="003A0B7E" w14:paraId="43BF9A2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D0FDAA2" w14:textId="77777777" w:rsidR="003A0B7E" w:rsidRDefault="00000000">
            <w:r>
              <w:rPr>
                <w:sz w:val="18"/>
              </w:rPr>
              <w:t>Импульсивность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44330E7" w14:textId="77777777" w:rsidR="003A0B7E" w:rsidRDefault="00000000">
            <w:pPr>
              <w:jc w:val="center"/>
            </w:pPr>
            <w:r>
              <w:rPr>
                <w:sz w:val="18"/>
              </w:rPr>
              <w:t>5.89p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0B7BC4D" w14:textId="77777777" w:rsidR="003A0B7E" w:rsidRDefault="00000000">
            <w:pPr>
              <w:jc w:val="center"/>
            </w:pPr>
            <w:r>
              <w:rPr>
                <w:sz w:val="18"/>
              </w:rPr>
              <w:t>1.20 (1.04–1.39)</w:t>
            </w:r>
          </w:p>
        </w:tc>
      </w:tr>
      <w:tr w:rsidR="003A0B7E" w14:paraId="75FC65DE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889D59C" w14:textId="77777777" w:rsidR="003A0B7E" w:rsidRDefault="00000000">
            <w:r>
              <w:rPr>
                <w:sz w:val="18"/>
              </w:rPr>
              <w:t>Функциональная импульсивность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AD49CC9" w14:textId="77777777" w:rsidR="003A0B7E" w:rsidRDefault="00000000">
            <w:pPr>
              <w:jc w:val="center"/>
            </w:pPr>
            <w:r>
              <w:rPr>
                <w:sz w:val="18"/>
              </w:rPr>
              <w:t>0.12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98FA010" w14:textId="77777777" w:rsidR="003A0B7E" w:rsidRDefault="00000000">
            <w:pPr>
              <w:jc w:val="center"/>
            </w:pPr>
            <w:r>
              <w:rPr>
                <w:sz w:val="18"/>
              </w:rPr>
              <w:t>0.97 (0.83–1.14)</w:t>
            </w:r>
          </w:p>
        </w:tc>
      </w:tr>
      <w:tr w:rsidR="003A0B7E" w14:paraId="02A9B46E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EDCF09A" w14:textId="77777777" w:rsidR="003A0B7E" w:rsidRDefault="00000000">
            <w:r>
              <w:rPr>
                <w:sz w:val="18"/>
              </w:rPr>
              <w:t>Когнитивная переоценка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D0746FF" w14:textId="77777777" w:rsidR="003A0B7E" w:rsidRDefault="00000000">
            <w:pPr>
              <w:jc w:val="center"/>
            </w:pPr>
            <w:r>
              <w:rPr>
                <w:sz w:val="18"/>
              </w:rPr>
              <w:t>11.48pp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B3B72A4" w14:textId="77777777" w:rsidR="003A0B7E" w:rsidRDefault="00000000">
            <w:pPr>
              <w:jc w:val="center"/>
            </w:pPr>
            <w:r>
              <w:rPr>
                <w:sz w:val="18"/>
              </w:rPr>
              <w:t>0.87 (0.80–0.94)</w:t>
            </w:r>
          </w:p>
        </w:tc>
      </w:tr>
      <w:tr w:rsidR="003A0B7E" w14:paraId="3992D10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37B91F0" w14:textId="77777777" w:rsidR="003A0B7E" w:rsidRDefault="00000000">
            <w:r>
              <w:rPr>
                <w:sz w:val="18"/>
              </w:rPr>
              <w:t>Экспрессивное подавление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69A83F2" w14:textId="77777777" w:rsidR="003A0B7E" w:rsidRDefault="00000000">
            <w:pPr>
              <w:jc w:val="center"/>
            </w:pPr>
            <w:r>
              <w:rPr>
                <w:sz w:val="18"/>
              </w:rPr>
              <w:t>0.49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0C4D101" w14:textId="77777777" w:rsidR="003A0B7E" w:rsidRDefault="00000000">
            <w:pPr>
              <w:jc w:val="center"/>
            </w:pPr>
            <w:r>
              <w:rPr>
                <w:sz w:val="18"/>
              </w:rPr>
              <w:t>1.04 (0.94–1.15)</w:t>
            </w:r>
          </w:p>
        </w:tc>
      </w:tr>
      <w:tr w:rsidR="003A0B7E" w14:paraId="22FB8F69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069E630" w14:textId="77777777" w:rsidR="003A0B7E" w:rsidRDefault="00000000">
            <w:r>
              <w:rPr>
                <w:sz w:val="18"/>
              </w:rPr>
              <w:t>Аверсивная чувствительность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9B0A7D1" w14:textId="77777777" w:rsidR="003A0B7E" w:rsidRDefault="00000000">
            <w:pPr>
              <w:jc w:val="center"/>
            </w:pPr>
            <w:r>
              <w:rPr>
                <w:sz w:val="18"/>
              </w:rPr>
              <w:t>9.40pp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922B160" w14:textId="77777777" w:rsidR="003A0B7E" w:rsidRDefault="00000000">
            <w:pPr>
              <w:jc w:val="center"/>
            </w:pPr>
            <w:r>
              <w:rPr>
                <w:sz w:val="18"/>
              </w:rPr>
              <w:t>1.30 (1.10–1.53)</w:t>
            </w:r>
          </w:p>
        </w:tc>
      </w:tr>
      <w:tr w:rsidR="003A0B7E" w14:paraId="16384E2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7B97953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8"/>
              </w:rPr>
              <w:t>BAS</w:t>
            </w:r>
            <w:r w:rsidRPr="004D4BE7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Drive</w:t>
            </w:r>
            <w:r w:rsidRPr="004D4BE7">
              <w:rPr>
                <w:sz w:val="18"/>
                <w:lang w:val="ru-RU"/>
              </w:rPr>
              <w:t xml:space="preserve"> / стремление к цели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1703840" w14:textId="77777777" w:rsidR="003A0B7E" w:rsidRDefault="00000000">
            <w:pPr>
              <w:jc w:val="center"/>
            </w:pPr>
            <w:r>
              <w:rPr>
                <w:sz w:val="18"/>
              </w:rPr>
              <w:t>6.46p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92AB396" w14:textId="77777777" w:rsidR="003A0B7E" w:rsidRDefault="00000000">
            <w:pPr>
              <w:jc w:val="center"/>
            </w:pPr>
            <w:r>
              <w:rPr>
                <w:sz w:val="18"/>
              </w:rPr>
              <w:t>0.69 (0.52–0.92)</w:t>
            </w:r>
          </w:p>
        </w:tc>
      </w:tr>
      <w:tr w:rsidR="003A0B7E" w14:paraId="6FA2012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91AB451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8"/>
              </w:rPr>
              <w:t>BAS</w:t>
            </w:r>
            <w:r w:rsidRPr="004D4BE7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Fun</w:t>
            </w:r>
            <w:r w:rsidRPr="004D4BE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Seeking</w:t>
            </w:r>
            <w:r w:rsidRPr="004D4BE7">
              <w:rPr>
                <w:sz w:val="18"/>
                <w:lang w:val="ru-RU"/>
              </w:rPr>
              <w:t xml:space="preserve"> / поиск удовольствий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08436DB" w14:textId="77777777" w:rsidR="003A0B7E" w:rsidRDefault="00000000">
            <w:pPr>
              <w:jc w:val="center"/>
            </w:pPr>
            <w:r>
              <w:rPr>
                <w:sz w:val="18"/>
              </w:rPr>
              <w:t>0.24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B394893" w14:textId="77777777" w:rsidR="003A0B7E" w:rsidRDefault="00000000">
            <w:pPr>
              <w:jc w:val="center"/>
            </w:pPr>
            <w:r>
              <w:rPr>
                <w:sz w:val="18"/>
              </w:rPr>
              <w:t>1.07 (0.82–1.38)</w:t>
            </w:r>
          </w:p>
        </w:tc>
      </w:tr>
      <w:tr w:rsidR="003A0B7E" w14:paraId="403AF077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512EF2A" w14:textId="77777777" w:rsidR="003A0B7E" w:rsidRDefault="00000000">
            <w:r>
              <w:rPr>
                <w:sz w:val="18"/>
              </w:rPr>
              <w:t>Реакция на вознаграждение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26DE85D" w14:textId="77777777" w:rsidR="003A0B7E" w:rsidRDefault="00000000">
            <w:pPr>
              <w:jc w:val="center"/>
            </w:pPr>
            <w:r>
              <w:rPr>
                <w:sz w:val="18"/>
              </w:rPr>
              <w:t>1.71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D7803EA" w14:textId="77777777" w:rsidR="003A0B7E" w:rsidRDefault="00000000">
            <w:pPr>
              <w:jc w:val="center"/>
            </w:pPr>
            <w:r>
              <w:rPr>
                <w:sz w:val="18"/>
              </w:rPr>
              <w:t>1.21 (0.91–1.62)</w:t>
            </w:r>
          </w:p>
        </w:tc>
      </w:tr>
      <w:tr w:rsidR="003A0B7E" w14:paraId="4C1BF241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027D182" w14:textId="77777777" w:rsidR="003A0B7E" w:rsidRDefault="00000000">
            <w:r>
              <w:rPr>
                <w:sz w:val="18"/>
              </w:rPr>
              <w:t>Критерий χ²: 74.80ppp; Nagelkerke R² = 47.2%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29D3E9F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5781DCB" w14:textId="77777777" w:rsidR="003A0B7E" w:rsidRDefault="003A0B7E">
            <w:pPr>
              <w:jc w:val="center"/>
            </w:pPr>
          </w:p>
        </w:tc>
      </w:tr>
    </w:tbl>
    <w:p w14:paraId="67297B9B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Примечание. </w:t>
      </w:r>
      <w:r>
        <w:rPr>
          <w:sz w:val="16"/>
        </w:rPr>
        <w:t>GD</w:t>
      </w:r>
      <w:r w:rsidRPr="004D4BE7">
        <w:rPr>
          <w:sz w:val="16"/>
          <w:lang w:val="ru-RU"/>
        </w:rPr>
        <w:t xml:space="preserve"> — игровое расстройство; </w:t>
      </w:r>
      <w:r>
        <w:rPr>
          <w:sz w:val="16"/>
        </w:rPr>
        <w:t>Controls</w:t>
      </w:r>
      <w:r w:rsidRPr="004D4BE7">
        <w:rPr>
          <w:sz w:val="16"/>
          <w:lang w:val="ru-RU"/>
        </w:rPr>
        <w:t xml:space="preserve"> — контрольная группа.</w:t>
      </w:r>
    </w:p>
    <w:p w14:paraId="3D77DAE6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ADHD</w:t>
      </w:r>
      <w:r w:rsidRPr="004D4BE7">
        <w:rPr>
          <w:sz w:val="16"/>
          <w:lang w:val="ru-RU"/>
        </w:rPr>
        <w:t xml:space="preserve"> — синдром дефицита внимания и гиперактивности.</w:t>
      </w:r>
    </w:p>
    <w:p w14:paraId="3A15917B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Депрессивное расстройство: лица с большим депрессивным эпизодом, большим депрессивным эпизодом в анамнезе или </w:t>
      </w:r>
      <w:proofErr w:type="spellStart"/>
      <w:r w:rsidRPr="004D4BE7">
        <w:rPr>
          <w:sz w:val="16"/>
          <w:lang w:val="ru-RU"/>
        </w:rPr>
        <w:t>персистирующим</w:t>
      </w:r>
      <w:proofErr w:type="spellEnd"/>
      <w:r w:rsidRPr="004D4BE7">
        <w:rPr>
          <w:sz w:val="16"/>
          <w:lang w:val="ru-RU"/>
        </w:rPr>
        <w:t xml:space="preserve"> депрессивным расстройством.</w:t>
      </w:r>
    </w:p>
    <w:p w14:paraId="687AF30C" w14:textId="77777777" w:rsidR="003A0B7E" w:rsidRDefault="00000000">
      <w:pPr>
        <w:spacing w:after="20" w:line="240" w:lineRule="auto"/>
      </w:pPr>
      <w:r>
        <w:rPr>
          <w:sz w:val="16"/>
        </w:rPr>
        <w:t>CCPT — Conners’ Continuous Performance Test, 3-е издание.</w:t>
      </w:r>
    </w:p>
    <w:p w14:paraId="4FCB0B9E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95% ДИ — 95% доверительный интервал; </w:t>
      </w:r>
      <w:r>
        <w:rPr>
          <w:sz w:val="16"/>
        </w:rPr>
        <w:t>Wald</w:t>
      </w:r>
      <w:r w:rsidRPr="004D4BE7">
        <w:rPr>
          <w:sz w:val="16"/>
          <w:lang w:val="ru-RU"/>
        </w:rPr>
        <w:t xml:space="preserve"> </w:t>
      </w:r>
      <w:r>
        <w:rPr>
          <w:sz w:val="16"/>
        </w:rPr>
        <w:t>χ</w:t>
      </w:r>
      <w:r w:rsidRPr="004D4BE7">
        <w:rPr>
          <w:sz w:val="16"/>
          <w:lang w:val="ru-RU"/>
        </w:rPr>
        <w:t xml:space="preserve">² — критерий </w:t>
      </w:r>
      <w:r>
        <w:rPr>
          <w:sz w:val="16"/>
        </w:rPr>
        <w:t>χ</w:t>
      </w:r>
      <w:r w:rsidRPr="004D4BE7">
        <w:rPr>
          <w:sz w:val="16"/>
          <w:lang w:val="ru-RU"/>
        </w:rPr>
        <w:t xml:space="preserve">² </w:t>
      </w:r>
      <w:proofErr w:type="spellStart"/>
      <w:r w:rsidRPr="004D4BE7">
        <w:rPr>
          <w:sz w:val="16"/>
          <w:lang w:val="ru-RU"/>
        </w:rPr>
        <w:t>Уолда</w:t>
      </w:r>
      <w:proofErr w:type="spellEnd"/>
      <w:r w:rsidRPr="004D4BE7">
        <w:rPr>
          <w:sz w:val="16"/>
          <w:lang w:val="ru-RU"/>
        </w:rPr>
        <w:t>.</w:t>
      </w:r>
    </w:p>
    <w:p w14:paraId="3B899AB2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p</w:t>
      </w:r>
      <w:r w:rsidRPr="004D4BE7">
        <w:rPr>
          <w:sz w:val="16"/>
          <w:lang w:val="ru-RU"/>
        </w:rPr>
        <w:t xml:space="preserve"> &lt; 0.05, </w:t>
      </w:r>
      <w:r>
        <w:rPr>
          <w:sz w:val="16"/>
        </w:rPr>
        <w:t>pp</w:t>
      </w:r>
      <w:r w:rsidRPr="004D4BE7">
        <w:rPr>
          <w:sz w:val="16"/>
          <w:lang w:val="ru-RU"/>
        </w:rPr>
        <w:t xml:space="preserve"> &lt; 0.01, </w:t>
      </w:r>
      <w:proofErr w:type="spellStart"/>
      <w:r>
        <w:rPr>
          <w:sz w:val="16"/>
        </w:rPr>
        <w:t>ppp</w:t>
      </w:r>
      <w:proofErr w:type="spellEnd"/>
      <w:r w:rsidRPr="004D4BE7">
        <w:rPr>
          <w:sz w:val="16"/>
          <w:lang w:val="ru-RU"/>
        </w:rPr>
        <w:t xml:space="preserve"> &lt; 0.001.</w:t>
      </w:r>
    </w:p>
    <w:p w14:paraId="29006087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 xml:space="preserve">Показатели </w:t>
      </w:r>
      <w:r>
        <w:rPr>
          <w:b/>
          <w:color w:val="373737"/>
          <w:sz w:val="26"/>
        </w:rPr>
        <w:t>CCPT</w:t>
      </w:r>
      <w:r w:rsidRPr="004D4BE7">
        <w:rPr>
          <w:b/>
          <w:color w:val="373737"/>
          <w:sz w:val="26"/>
          <w:lang w:val="ru-RU"/>
        </w:rPr>
        <w:t>, импульсивность, регуляция эмоций и чувствительность к подкреплению при игровом расстройстве и опасном гейминге</w:t>
      </w:r>
    </w:p>
    <w:p w14:paraId="0E83E7EC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Как видно из </w:t>
      </w:r>
      <w:r>
        <w:t>ANCOVA</w:t>
      </w:r>
      <w:r w:rsidRPr="004D4BE7">
        <w:rPr>
          <w:lang w:val="ru-RU"/>
        </w:rPr>
        <w:t xml:space="preserve"> в табл. 1, между группами </w:t>
      </w:r>
      <w:r>
        <w:t>GD</w:t>
      </w:r>
      <w:r w:rsidRPr="004D4BE7">
        <w:rPr>
          <w:lang w:val="ru-RU"/>
        </w:rPr>
        <w:t xml:space="preserve">, </w:t>
      </w:r>
      <w:r>
        <w:t>HG</w:t>
      </w:r>
      <w:r w:rsidRPr="004D4BE7">
        <w:rPr>
          <w:lang w:val="ru-RU"/>
        </w:rPr>
        <w:t xml:space="preserve"> и контроля были выявлены значимые различия по персеверациям (</w:t>
      </w:r>
      <w:r>
        <w:t>F</w:t>
      </w:r>
      <w:r w:rsidRPr="004D4BE7">
        <w:rPr>
          <w:lang w:val="ru-RU"/>
        </w:rPr>
        <w:t xml:space="preserve"> = 4.66, </w:t>
      </w:r>
      <w:r>
        <w:t>p</w:t>
      </w:r>
      <w:r w:rsidRPr="004D4BE7">
        <w:rPr>
          <w:lang w:val="ru-RU"/>
        </w:rPr>
        <w:t xml:space="preserve"> = 0.01), импульсивности (</w:t>
      </w:r>
      <w:r>
        <w:t>F</w:t>
      </w:r>
      <w:r w:rsidRPr="004D4BE7">
        <w:rPr>
          <w:lang w:val="ru-RU"/>
        </w:rPr>
        <w:t xml:space="preserve"> = 8.50, </w:t>
      </w:r>
      <w:r>
        <w:t>p</w:t>
      </w:r>
      <w:r w:rsidRPr="004D4BE7">
        <w:rPr>
          <w:lang w:val="ru-RU"/>
        </w:rPr>
        <w:t xml:space="preserve"> &lt; 0.001), когнитивной переоценке (</w:t>
      </w:r>
      <w:r>
        <w:t>F</w:t>
      </w:r>
      <w:r w:rsidRPr="004D4BE7">
        <w:rPr>
          <w:lang w:val="ru-RU"/>
        </w:rPr>
        <w:t xml:space="preserve"> = 14.69, </w:t>
      </w:r>
      <w:r>
        <w:t>p</w:t>
      </w:r>
      <w:r w:rsidRPr="004D4BE7">
        <w:rPr>
          <w:lang w:val="ru-RU"/>
        </w:rPr>
        <w:t xml:space="preserve"> &lt; 0.001),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(</w:t>
      </w:r>
      <w:r>
        <w:t>F</w:t>
      </w:r>
      <w:r w:rsidRPr="004D4BE7">
        <w:rPr>
          <w:lang w:val="ru-RU"/>
        </w:rPr>
        <w:t xml:space="preserve"> = 14.55, </w:t>
      </w:r>
      <w:r>
        <w:t>p</w:t>
      </w:r>
      <w:r w:rsidRPr="004D4BE7">
        <w:rPr>
          <w:lang w:val="ru-RU"/>
        </w:rPr>
        <w:t xml:space="preserve"> &lt; 0.001), </w:t>
      </w:r>
      <w:r>
        <w:t>BAS</w:t>
      </w:r>
      <w:r w:rsidRPr="004D4BE7">
        <w:rPr>
          <w:lang w:val="ru-RU"/>
        </w:rPr>
        <w:t>-</w:t>
      </w:r>
      <w:r>
        <w:t>Drive</w:t>
      </w:r>
      <w:r w:rsidRPr="004D4BE7">
        <w:rPr>
          <w:lang w:val="ru-RU"/>
        </w:rPr>
        <w:t xml:space="preserve"> / стремлению к цели (</w:t>
      </w:r>
      <w:r>
        <w:t>F</w:t>
      </w:r>
      <w:r w:rsidRPr="004D4BE7">
        <w:rPr>
          <w:lang w:val="ru-RU"/>
        </w:rPr>
        <w:t xml:space="preserve"> = 4.65, </w:t>
      </w:r>
      <w:r>
        <w:t>p</w:t>
      </w:r>
      <w:r w:rsidRPr="004D4BE7">
        <w:rPr>
          <w:lang w:val="ru-RU"/>
        </w:rPr>
        <w:t xml:space="preserve"> = 0.01) и </w:t>
      </w:r>
      <w:r>
        <w:t>BAS</w:t>
      </w:r>
      <w:r w:rsidRPr="004D4BE7">
        <w:rPr>
          <w:lang w:val="ru-RU"/>
        </w:rPr>
        <w:t>-</w:t>
      </w:r>
      <w:r>
        <w:t>Fun</w:t>
      </w:r>
      <w:r w:rsidRPr="004D4BE7">
        <w:rPr>
          <w:lang w:val="ru-RU"/>
        </w:rPr>
        <w:t xml:space="preserve"> </w:t>
      </w:r>
      <w:r>
        <w:t>Seeking</w:t>
      </w:r>
      <w:r w:rsidRPr="004D4BE7">
        <w:rPr>
          <w:lang w:val="ru-RU"/>
        </w:rPr>
        <w:t xml:space="preserve"> / поиску удовольствий (</w:t>
      </w:r>
      <w:r>
        <w:t>F</w:t>
      </w:r>
      <w:r w:rsidRPr="004D4BE7">
        <w:rPr>
          <w:lang w:val="ru-RU"/>
        </w:rPr>
        <w:t xml:space="preserve"> = 5.19, </w:t>
      </w:r>
      <w:r>
        <w:t>p</w:t>
      </w:r>
      <w:r w:rsidRPr="004D4BE7">
        <w:rPr>
          <w:lang w:val="ru-RU"/>
        </w:rPr>
        <w:t xml:space="preserve"> = 0.01). Пост-</w:t>
      </w:r>
      <w:proofErr w:type="spellStart"/>
      <w:r w:rsidRPr="004D4BE7">
        <w:rPr>
          <w:lang w:val="ru-RU"/>
        </w:rPr>
        <w:t>хок</w:t>
      </w:r>
      <w:proofErr w:type="spellEnd"/>
      <w:r w:rsidRPr="004D4BE7">
        <w:rPr>
          <w:lang w:val="ru-RU"/>
        </w:rPr>
        <w:t xml:space="preserve"> анализ </w:t>
      </w:r>
      <w:proofErr w:type="spellStart"/>
      <w:r w:rsidRPr="004D4BE7">
        <w:rPr>
          <w:lang w:val="ru-RU"/>
        </w:rPr>
        <w:t>Бонферрони</w:t>
      </w:r>
      <w:proofErr w:type="spellEnd"/>
      <w:r w:rsidRPr="004D4BE7">
        <w:rPr>
          <w:lang w:val="ru-RU"/>
        </w:rPr>
        <w:t xml:space="preserve"> показал, что по сравнению с контрольной группой участники с </w:t>
      </w:r>
      <w:r>
        <w:t>GD</w:t>
      </w:r>
      <w:r w:rsidRPr="004D4BE7">
        <w:rPr>
          <w:lang w:val="ru-RU"/>
        </w:rPr>
        <w:t xml:space="preserve"> имели статистически значимо более высокие показатели (</w:t>
      </w:r>
      <w:proofErr w:type="spellStart"/>
      <w:r>
        <w:t>i</w:t>
      </w:r>
      <w:proofErr w:type="spellEnd"/>
      <w:r w:rsidRPr="004D4BE7">
        <w:rPr>
          <w:lang w:val="ru-RU"/>
        </w:rPr>
        <w:t>) персевераций (</w:t>
      </w:r>
      <w:r>
        <w:t>d</w:t>
      </w:r>
      <w:r w:rsidRPr="004D4BE7">
        <w:rPr>
          <w:lang w:val="ru-RU"/>
        </w:rPr>
        <w:t xml:space="preserve"> Коэна = 0.44), (</w:t>
      </w:r>
      <w:r>
        <w:t>ii</w:t>
      </w:r>
      <w:r w:rsidRPr="004D4BE7">
        <w:rPr>
          <w:lang w:val="ru-RU"/>
        </w:rPr>
        <w:t>) импульсивности (</w:t>
      </w:r>
      <w:r>
        <w:t>d</w:t>
      </w:r>
      <w:r w:rsidRPr="004D4BE7">
        <w:rPr>
          <w:lang w:val="ru-RU"/>
        </w:rPr>
        <w:t xml:space="preserve"> Коэна = 0.64) и (</w:t>
      </w:r>
      <w:r>
        <w:t>iii</w:t>
      </w:r>
      <w:r w:rsidRPr="004D4BE7">
        <w:rPr>
          <w:lang w:val="ru-RU"/>
        </w:rPr>
        <w:t xml:space="preserve">)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(</w:t>
      </w:r>
      <w:r>
        <w:t>d</w:t>
      </w:r>
      <w:r w:rsidRPr="004D4BE7">
        <w:rPr>
          <w:lang w:val="ru-RU"/>
        </w:rPr>
        <w:t xml:space="preserve"> Коэна = 0.83), а также статистически значимо более низкие показатели (</w:t>
      </w:r>
      <w:proofErr w:type="spellStart"/>
      <w:r>
        <w:t>i</w:t>
      </w:r>
      <w:proofErr w:type="spellEnd"/>
      <w:r w:rsidRPr="004D4BE7">
        <w:rPr>
          <w:lang w:val="ru-RU"/>
        </w:rPr>
        <w:t>) когнитивной переоценки (</w:t>
      </w:r>
      <w:r>
        <w:t>d</w:t>
      </w:r>
      <w:r w:rsidRPr="004D4BE7">
        <w:rPr>
          <w:lang w:val="ru-RU"/>
        </w:rPr>
        <w:t xml:space="preserve"> Коэна = 0.85) и (</w:t>
      </w:r>
      <w:r>
        <w:t>ii</w:t>
      </w:r>
      <w:r w:rsidRPr="004D4BE7">
        <w:rPr>
          <w:lang w:val="ru-RU"/>
        </w:rPr>
        <w:t>) стремления к цели (</w:t>
      </w:r>
      <w:r>
        <w:t>d</w:t>
      </w:r>
      <w:r w:rsidRPr="004D4BE7">
        <w:rPr>
          <w:lang w:val="ru-RU"/>
        </w:rPr>
        <w:t xml:space="preserve"> Коэна = 0.46).</w:t>
      </w:r>
    </w:p>
    <w:p w14:paraId="75650A25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Логистическая регрессионная модель, в которой </w:t>
      </w:r>
      <w:r>
        <w:t>GD</w:t>
      </w:r>
      <w:r w:rsidRPr="004D4BE7">
        <w:rPr>
          <w:lang w:val="ru-RU"/>
        </w:rPr>
        <w:t xml:space="preserve"> прогнозировалось на основе перечисленных факторов, была статистически значимой: </w:t>
      </w:r>
      <w:r>
        <w:t>χ</w:t>
      </w:r>
      <w:r w:rsidRPr="004D4BE7">
        <w:rPr>
          <w:lang w:val="ru-RU"/>
        </w:rPr>
        <w:t xml:space="preserve">² = 74.80, </w:t>
      </w:r>
      <w:r>
        <w:t>p</w:t>
      </w:r>
      <w:r w:rsidRPr="004D4BE7">
        <w:rPr>
          <w:lang w:val="ru-RU"/>
        </w:rPr>
        <w:t xml:space="preserve"> </w:t>
      </w:r>
      <w:proofErr w:type="gramStart"/>
      <w:r w:rsidRPr="004D4BE7">
        <w:rPr>
          <w:lang w:val="ru-RU"/>
        </w:rPr>
        <w:t>&lt; 0.001</w:t>
      </w:r>
      <w:proofErr w:type="gramEnd"/>
      <w:r w:rsidRPr="004D4BE7">
        <w:rPr>
          <w:lang w:val="ru-RU"/>
        </w:rPr>
        <w:t xml:space="preserve"> (модель 2 в табл. 2). Она объясняла 47.2% дисперсии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Nagelkerke</w:t>
      </w:r>
      <w:proofErr w:type="spellEnd"/>
      <w:r w:rsidRPr="004D4BE7">
        <w:rPr>
          <w:lang w:val="ru-RU"/>
        </w:rPr>
        <w:t xml:space="preserve"> </w:t>
      </w:r>
      <w:r>
        <w:t>R</w:t>
      </w:r>
      <w:r w:rsidRPr="004D4BE7">
        <w:rPr>
          <w:lang w:val="ru-RU"/>
        </w:rPr>
        <w:t xml:space="preserve">²) и правильно классифицировала 80.6% участников. Повышение показателя когнитивной переоценки </w:t>
      </w:r>
      <w:r w:rsidRPr="004D4BE7">
        <w:rPr>
          <w:lang w:val="ru-RU"/>
        </w:rPr>
        <w:lastRenderedPageBreak/>
        <w:t>(</w:t>
      </w:r>
      <w:r>
        <w:t>OR</w:t>
      </w:r>
      <w:r w:rsidRPr="004D4BE7">
        <w:rPr>
          <w:lang w:val="ru-RU"/>
        </w:rPr>
        <w:t xml:space="preserve"> = 0.87; 95% ДИ = 0.80–0.94) или </w:t>
      </w:r>
      <w:r>
        <w:t>BAS</w:t>
      </w:r>
      <w:r w:rsidRPr="004D4BE7">
        <w:rPr>
          <w:lang w:val="ru-RU"/>
        </w:rPr>
        <w:t>-</w:t>
      </w:r>
      <w:r>
        <w:t>Drive</w:t>
      </w:r>
      <w:r w:rsidRPr="004D4BE7">
        <w:rPr>
          <w:lang w:val="ru-RU"/>
        </w:rPr>
        <w:t xml:space="preserve"> / стремления к цели (</w:t>
      </w:r>
      <w:r>
        <w:t>OR</w:t>
      </w:r>
      <w:r w:rsidRPr="004D4BE7">
        <w:rPr>
          <w:lang w:val="ru-RU"/>
        </w:rPr>
        <w:t xml:space="preserve"> = 0.69; 95% ДИ = 0.52–0.92) было связано со снижением вероятности диагноза </w:t>
      </w:r>
      <w:r>
        <w:t>GD</w:t>
      </w:r>
      <w:r w:rsidRPr="004D4BE7">
        <w:rPr>
          <w:lang w:val="ru-RU"/>
        </w:rPr>
        <w:t xml:space="preserve">. Напротив, увеличение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(</w:t>
      </w:r>
      <w:r>
        <w:t>OR</w:t>
      </w:r>
      <w:r w:rsidRPr="004D4BE7">
        <w:rPr>
          <w:lang w:val="ru-RU"/>
        </w:rPr>
        <w:t xml:space="preserve"> = 1.30; 95% ДИ = 1.10–1.53), импульсивности (</w:t>
      </w:r>
      <w:r>
        <w:t>OR</w:t>
      </w:r>
      <w:r w:rsidRPr="004D4BE7">
        <w:rPr>
          <w:lang w:val="ru-RU"/>
        </w:rPr>
        <w:t xml:space="preserve"> = 1.20; 95% ДИ = 1.04–1.39) и персевераций (</w:t>
      </w:r>
      <w:r>
        <w:t>OR</w:t>
      </w:r>
      <w:r w:rsidRPr="004D4BE7">
        <w:rPr>
          <w:lang w:val="ru-RU"/>
        </w:rPr>
        <w:t xml:space="preserve"> = 1.09; 95% ДИ = 1.00–1.19) было связано с более высокой вероятностью диагноза </w:t>
      </w:r>
      <w:r>
        <w:t>GD</w:t>
      </w:r>
      <w:r w:rsidRPr="004D4BE7">
        <w:rPr>
          <w:lang w:val="ru-RU"/>
        </w:rPr>
        <w:t>.</w:t>
      </w:r>
    </w:p>
    <w:p w14:paraId="40431D3C" w14:textId="77777777" w:rsidR="003A0B7E" w:rsidRPr="004D4BE7" w:rsidRDefault="00000000">
      <w:pPr>
        <w:spacing w:before="160" w:after="60"/>
        <w:rPr>
          <w:lang w:val="ru-RU"/>
        </w:rPr>
      </w:pPr>
      <w:r w:rsidRPr="004D4BE7">
        <w:rPr>
          <w:b/>
          <w:sz w:val="22"/>
          <w:lang w:val="ru-RU"/>
        </w:rPr>
        <w:t>Таблица 3. Логистическая регрессия, оценивающая связь психиатрических расстройств и факторов риска с опасным геймингом (</w:t>
      </w:r>
      <w:r>
        <w:rPr>
          <w:b/>
          <w:sz w:val="22"/>
        </w:rPr>
        <w:t>HG</w:t>
      </w:r>
      <w:r w:rsidRPr="004D4BE7">
        <w:rPr>
          <w:b/>
          <w:sz w:val="22"/>
          <w:lang w:val="ru-RU"/>
        </w:rPr>
        <w:t>), с поправкой на пол и возраст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6"/>
        <w:gridCol w:w="1531"/>
        <w:gridCol w:w="3175"/>
      </w:tblGrid>
      <w:tr w:rsidR="003A0B7E" w14:paraId="7211B798" w14:textId="77777777">
        <w:trPr>
          <w:jc w:val="center"/>
        </w:trPr>
        <w:tc>
          <w:tcPr>
            <w:tcW w:w="5216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C560EF" w14:textId="77777777" w:rsidR="003A0B7E" w:rsidRPr="004D4BE7" w:rsidRDefault="00000000">
            <w:pPr>
              <w:jc w:val="center"/>
              <w:rPr>
                <w:lang w:val="ru-RU"/>
              </w:rPr>
            </w:pPr>
            <w:r>
              <w:rPr>
                <w:b/>
                <w:sz w:val="18"/>
              </w:rPr>
              <w:t>HG</w:t>
            </w:r>
            <w:r w:rsidRPr="004D4BE7">
              <w:rPr>
                <w:b/>
                <w:sz w:val="18"/>
                <w:lang w:val="ru-RU"/>
              </w:rPr>
              <w:t xml:space="preserve"> по сравнению с контролем</w:t>
            </w:r>
          </w:p>
        </w:tc>
        <w:tc>
          <w:tcPr>
            <w:tcW w:w="1531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249E5E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Wald χ²</w:t>
            </w:r>
          </w:p>
        </w:tc>
        <w:tc>
          <w:tcPr>
            <w:tcW w:w="3175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DC6B6B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Отношение шансов (95% ДИ)</w:t>
            </w:r>
          </w:p>
        </w:tc>
      </w:tr>
      <w:tr w:rsidR="003A0B7E" w14:paraId="76F8855B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CBD2640" w14:textId="77777777" w:rsidR="003A0B7E" w:rsidRDefault="00000000">
            <w:r>
              <w:rPr>
                <w:sz w:val="18"/>
              </w:rPr>
              <w:t>Модель 1: психиатрическая коморбидность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F712B9B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3A2C8A6" w14:textId="77777777" w:rsidR="003A0B7E" w:rsidRDefault="003A0B7E">
            <w:pPr>
              <w:jc w:val="center"/>
            </w:pPr>
          </w:p>
        </w:tc>
      </w:tr>
      <w:tr w:rsidR="003A0B7E" w14:paraId="2B04B95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720FA55" w14:textId="77777777" w:rsidR="003A0B7E" w:rsidRDefault="00000000">
            <w:r>
              <w:rPr>
                <w:sz w:val="18"/>
              </w:rPr>
              <w:t>Пол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730558A" w14:textId="77777777" w:rsidR="003A0B7E" w:rsidRDefault="00000000">
            <w:pPr>
              <w:jc w:val="center"/>
            </w:pPr>
            <w:r>
              <w:rPr>
                <w:sz w:val="18"/>
              </w:rPr>
              <w:t>0.27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44E4D9F" w14:textId="77777777" w:rsidR="003A0B7E" w:rsidRDefault="00000000">
            <w:pPr>
              <w:jc w:val="center"/>
            </w:pPr>
            <w:r>
              <w:rPr>
                <w:sz w:val="18"/>
              </w:rPr>
              <w:t>0.80 (0.34–1.88)</w:t>
            </w:r>
          </w:p>
        </w:tc>
      </w:tr>
      <w:tr w:rsidR="003A0B7E" w14:paraId="277D7A8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F46D348" w14:textId="77777777" w:rsidR="003A0B7E" w:rsidRDefault="00000000">
            <w:r>
              <w:rPr>
                <w:sz w:val="18"/>
              </w:rPr>
              <w:t>Возраст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B247675" w14:textId="77777777" w:rsidR="003A0B7E" w:rsidRDefault="00000000">
            <w:pPr>
              <w:jc w:val="center"/>
            </w:pPr>
            <w:r>
              <w:rPr>
                <w:sz w:val="18"/>
              </w:rPr>
              <w:t>0.15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0E11F61" w14:textId="77777777" w:rsidR="003A0B7E" w:rsidRDefault="00000000">
            <w:pPr>
              <w:jc w:val="center"/>
            </w:pPr>
            <w:r>
              <w:rPr>
                <w:sz w:val="18"/>
              </w:rPr>
              <w:t>0.98 (0.91–1.07)</w:t>
            </w:r>
          </w:p>
        </w:tc>
      </w:tr>
      <w:tr w:rsidR="003A0B7E" w14:paraId="0D3227A5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3D30A14" w14:textId="77777777" w:rsidR="003A0B7E" w:rsidRDefault="00000000">
            <w:r>
              <w:rPr>
                <w:sz w:val="18"/>
              </w:rPr>
              <w:t>ADHD у взрослых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236641B" w14:textId="77777777" w:rsidR="003A0B7E" w:rsidRDefault="00000000">
            <w:pPr>
              <w:jc w:val="center"/>
            </w:pPr>
            <w:r>
              <w:rPr>
                <w:sz w:val="18"/>
              </w:rPr>
              <w:t>13.90ppp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BAB1430" w14:textId="77777777" w:rsidR="003A0B7E" w:rsidRDefault="00000000">
            <w:pPr>
              <w:jc w:val="center"/>
            </w:pPr>
            <w:r>
              <w:rPr>
                <w:sz w:val="18"/>
              </w:rPr>
              <w:t>6.35 (2.40–16.77)</w:t>
            </w:r>
          </w:p>
        </w:tc>
      </w:tr>
      <w:tr w:rsidR="003A0B7E" w14:paraId="264F8E7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8278CE1" w14:textId="77777777" w:rsidR="003A0B7E" w:rsidRDefault="00000000">
            <w:r>
              <w:rPr>
                <w:sz w:val="18"/>
              </w:rPr>
              <w:t>Депрессивное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0546677" w14:textId="77777777" w:rsidR="003A0B7E" w:rsidRDefault="00000000">
            <w:pPr>
              <w:jc w:val="center"/>
            </w:pPr>
            <w:r>
              <w:rPr>
                <w:sz w:val="18"/>
              </w:rPr>
              <w:t>0.18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0EB84B9" w14:textId="77777777" w:rsidR="003A0B7E" w:rsidRDefault="00000000">
            <w:pPr>
              <w:jc w:val="center"/>
            </w:pPr>
            <w:r>
              <w:rPr>
                <w:sz w:val="18"/>
              </w:rPr>
              <w:t>1.40 (0.30–6.59)</w:t>
            </w:r>
          </w:p>
        </w:tc>
      </w:tr>
      <w:tr w:rsidR="003A0B7E" w14:paraId="7786D3F4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5194A9D" w14:textId="77777777" w:rsidR="003A0B7E" w:rsidRDefault="00000000">
            <w:r>
              <w:rPr>
                <w:sz w:val="18"/>
              </w:rPr>
              <w:t>Генерализованное тревожное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6504BA4" w14:textId="77777777" w:rsidR="003A0B7E" w:rsidRDefault="00000000">
            <w:pPr>
              <w:jc w:val="center"/>
            </w:pPr>
            <w:r>
              <w:rPr>
                <w:sz w:val="18"/>
              </w:rPr>
              <w:t>0.01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172ADEB" w14:textId="77777777" w:rsidR="003A0B7E" w:rsidRDefault="00000000">
            <w:pPr>
              <w:jc w:val="center"/>
            </w:pPr>
            <w:r>
              <w:rPr>
                <w:sz w:val="18"/>
              </w:rPr>
              <w:t>3.29 (0.89–12.09)</w:t>
            </w:r>
          </w:p>
        </w:tc>
      </w:tr>
      <w:tr w:rsidR="003A0B7E" w14:paraId="2D21CC1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A7E31B4" w14:textId="77777777" w:rsidR="003A0B7E" w:rsidRDefault="00000000">
            <w:r>
              <w:rPr>
                <w:sz w:val="18"/>
              </w:rPr>
              <w:t>Социальное тревожное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64575D2" w14:textId="77777777" w:rsidR="003A0B7E" w:rsidRDefault="00000000">
            <w:pPr>
              <w:jc w:val="center"/>
            </w:pPr>
            <w:r>
              <w:rPr>
                <w:sz w:val="18"/>
              </w:rPr>
              <w:t>0.53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1C5D24E" w14:textId="77777777" w:rsidR="003A0B7E" w:rsidRDefault="00000000">
            <w:pPr>
              <w:jc w:val="center"/>
            </w:pPr>
            <w:r>
              <w:rPr>
                <w:sz w:val="18"/>
              </w:rPr>
              <w:t>0.90 (0.06–13.16)</w:t>
            </w:r>
          </w:p>
        </w:tc>
      </w:tr>
      <w:tr w:rsidR="003A0B7E" w14:paraId="1D95C69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49F21FE" w14:textId="77777777" w:rsidR="003A0B7E" w:rsidRDefault="00000000">
            <w:r>
              <w:rPr>
                <w:sz w:val="18"/>
              </w:rPr>
              <w:t>Критерий χ²: 21.30pp; Nagelkerke R² = 17.5%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7E7B103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E7EB295" w14:textId="77777777" w:rsidR="003A0B7E" w:rsidRDefault="003A0B7E">
            <w:pPr>
              <w:jc w:val="center"/>
            </w:pPr>
          </w:p>
        </w:tc>
      </w:tr>
      <w:tr w:rsidR="003A0B7E" w14:paraId="4ACB3A8F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5F034C6" w14:textId="77777777" w:rsidR="003A0B7E" w:rsidRDefault="00000000">
            <w:r>
              <w:rPr>
                <w:sz w:val="18"/>
              </w:rPr>
              <w:t>Модель 2: факторы риска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B253FF6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F138468" w14:textId="77777777" w:rsidR="003A0B7E" w:rsidRDefault="003A0B7E">
            <w:pPr>
              <w:jc w:val="center"/>
            </w:pPr>
          </w:p>
        </w:tc>
      </w:tr>
      <w:tr w:rsidR="003A0B7E" w14:paraId="008B762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192634D" w14:textId="77777777" w:rsidR="003A0B7E" w:rsidRDefault="00000000">
            <w:r>
              <w:rPr>
                <w:sz w:val="18"/>
              </w:rPr>
              <w:t>Пол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7F87BA2" w14:textId="77777777" w:rsidR="003A0B7E" w:rsidRDefault="00000000">
            <w:pPr>
              <w:jc w:val="center"/>
            </w:pPr>
            <w:r>
              <w:rPr>
                <w:sz w:val="18"/>
              </w:rPr>
              <w:t>0.17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2ABB6AA" w14:textId="77777777" w:rsidR="003A0B7E" w:rsidRDefault="00000000">
            <w:pPr>
              <w:jc w:val="center"/>
            </w:pPr>
            <w:r>
              <w:rPr>
                <w:sz w:val="18"/>
              </w:rPr>
              <w:t>0.82 (0.31–2.13)</w:t>
            </w:r>
          </w:p>
        </w:tc>
      </w:tr>
      <w:tr w:rsidR="003A0B7E" w14:paraId="1A8D124D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141245F" w14:textId="77777777" w:rsidR="003A0B7E" w:rsidRDefault="00000000">
            <w:r>
              <w:rPr>
                <w:sz w:val="18"/>
              </w:rPr>
              <w:t>Возраст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B1CEE56" w14:textId="77777777" w:rsidR="003A0B7E" w:rsidRDefault="00000000">
            <w:pPr>
              <w:jc w:val="center"/>
            </w:pPr>
            <w:r>
              <w:rPr>
                <w:sz w:val="18"/>
              </w:rPr>
              <w:t>0.01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FF02374" w14:textId="77777777" w:rsidR="003A0B7E" w:rsidRDefault="00000000">
            <w:pPr>
              <w:jc w:val="center"/>
            </w:pPr>
            <w:r>
              <w:rPr>
                <w:sz w:val="18"/>
              </w:rPr>
              <w:t>1.01 (0.92–1.10)</w:t>
            </w:r>
          </w:p>
        </w:tc>
      </w:tr>
      <w:tr w:rsidR="003A0B7E" w14:paraId="3AA952DB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103E2CC" w14:textId="77777777" w:rsidR="003A0B7E" w:rsidRDefault="00000000">
            <w:r>
              <w:rPr>
                <w:sz w:val="18"/>
              </w:rPr>
              <w:t>CCPT: различительная способность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D20893E" w14:textId="77777777" w:rsidR="003A0B7E" w:rsidRDefault="00000000">
            <w:pPr>
              <w:jc w:val="center"/>
            </w:pPr>
            <w:r>
              <w:rPr>
                <w:sz w:val="18"/>
              </w:rPr>
              <w:t>0.21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43E0742" w14:textId="77777777" w:rsidR="003A0B7E" w:rsidRDefault="00000000">
            <w:pPr>
              <w:jc w:val="center"/>
            </w:pPr>
            <w:r>
              <w:rPr>
                <w:sz w:val="18"/>
              </w:rPr>
              <w:t>1.04 (0.89–1.22)</w:t>
            </w:r>
          </w:p>
        </w:tc>
      </w:tr>
      <w:tr w:rsidR="003A0B7E" w14:paraId="33A593C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CDC7A45" w14:textId="77777777" w:rsidR="003A0B7E" w:rsidRDefault="00000000">
            <w:r>
              <w:rPr>
                <w:sz w:val="18"/>
              </w:rPr>
              <w:t>CCPT: ошибки пропуска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14B7353" w14:textId="77777777" w:rsidR="003A0B7E" w:rsidRDefault="00000000">
            <w:pPr>
              <w:jc w:val="center"/>
            </w:pPr>
            <w:r>
              <w:rPr>
                <w:sz w:val="18"/>
              </w:rPr>
              <w:t>0.49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693EADA" w14:textId="77777777" w:rsidR="003A0B7E" w:rsidRDefault="00000000">
            <w:pPr>
              <w:jc w:val="center"/>
            </w:pPr>
            <w:r>
              <w:rPr>
                <w:sz w:val="18"/>
              </w:rPr>
              <w:t>0.96 (0.84–1.09)</w:t>
            </w:r>
          </w:p>
        </w:tc>
      </w:tr>
      <w:tr w:rsidR="003A0B7E" w14:paraId="00D71FCD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222EB6B" w14:textId="77777777" w:rsidR="003A0B7E" w:rsidRDefault="00000000">
            <w:r>
              <w:rPr>
                <w:sz w:val="18"/>
              </w:rPr>
              <w:t>CCPT: ошибки совершения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0AE5591" w14:textId="77777777" w:rsidR="003A0B7E" w:rsidRDefault="00000000">
            <w:pPr>
              <w:jc w:val="center"/>
            </w:pPr>
            <w:r>
              <w:rPr>
                <w:sz w:val="18"/>
              </w:rPr>
              <w:t>0.25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B157284" w14:textId="77777777" w:rsidR="003A0B7E" w:rsidRDefault="00000000">
            <w:pPr>
              <w:jc w:val="center"/>
            </w:pPr>
            <w:r>
              <w:rPr>
                <w:sz w:val="18"/>
              </w:rPr>
              <w:t>0.97 (0.86–1.09)</w:t>
            </w:r>
          </w:p>
        </w:tc>
      </w:tr>
      <w:tr w:rsidR="003A0B7E" w14:paraId="27FC082A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7EBB9E3" w14:textId="77777777" w:rsidR="003A0B7E" w:rsidRDefault="00000000">
            <w:r>
              <w:rPr>
                <w:sz w:val="18"/>
              </w:rPr>
              <w:t>CCPT: персеверации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9471F13" w14:textId="77777777" w:rsidR="003A0B7E" w:rsidRDefault="00000000">
            <w:pPr>
              <w:jc w:val="center"/>
            </w:pPr>
            <w:r>
              <w:rPr>
                <w:sz w:val="18"/>
              </w:rPr>
              <w:t>0.00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87FC02C" w14:textId="77777777" w:rsidR="003A0B7E" w:rsidRDefault="00000000">
            <w:pPr>
              <w:jc w:val="center"/>
            </w:pPr>
            <w:r>
              <w:rPr>
                <w:sz w:val="18"/>
              </w:rPr>
              <w:t>1.00 (0.88–1.15)</w:t>
            </w:r>
          </w:p>
        </w:tc>
      </w:tr>
      <w:tr w:rsidR="003A0B7E" w14:paraId="43D11FC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AD2053C" w14:textId="77777777" w:rsidR="003A0B7E" w:rsidRDefault="00000000">
            <w:r>
              <w:rPr>
                <w:sz w:val="18"/>
              </w:rPr>
              <w:t>Импульсивность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61F7756" w14:textId="77777777" w:rsidR="003A0B7E" w:rsidRDefault="00000000">
            <w:pPr>
              <w:jc w:val="center"/>
            </w:pPr>
            <w:r>
              <w:rPr>
                <w:sz w:val="18"/>
              </w:rPr>
              <w:t>0.03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031DBFB" w14:textId="77777777" w:rsidR="003A0B7E" w:rsidRDefault="00000000">
            <w:pPr>
              <w:jc w:val="center"/>
            </w:pPr>
            <w:r>
              <w:rPr>
                <w:sz w:val="18"/>
              </w:rPr>
              <w:t>1.01 (0.87–1.18)</w:t>
            </w:r>
          </w:p>
        </w:tc>
      </w:tr>
      <w:tr w:rsidR="003A0B7E" w14:paraId="56945AB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8BDB970" w14:textId="77777777" w:rsidR="003A0B7E" w:rsidRDefault="00000000">
            <w:r>
              <w:rPr>
                <w:sz w:val="18"/>
              </w:rPr>
              <w:t>Функциональная импульсивность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17FDFD8" w14:textId="77777777" w:rsidR="003A0B7E" w:rsidRDefault="00000000">
            <w:pPr>
              <w:jc w:val="center"/>
            </w:pPr>
            <w:r>
              <w:rPr>
                <w:sz w:val="18"/>
              </w:rPr>
              <w:t>0.00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1BB395D" w14:textId="77777777" w:rsidR="003A0B7E" w:rsidRDefault="00000000">
            <w:pPr>
              <w:jc w:val="center"/>
            </w:pPr>
            <w:r>
              <w:rPr>
                <w:sz w:val="18"/>
              </w:rPr>
              <w:t>1.00 (0.86–1.15)</w:t>
            </w:r>
          </w:p>
        </w:tc>
      </w:tr>
      <w:tr w:rsidR="003A0B7E" w14:paraId="4B8F1593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469AFBF" w14:textId="77777777" w:rsidR="003A0B7E" w:rsidRDefault="00000000">
            <w:r>
              <w:rPr>
                <w:sz w:val="18"/>
              </w:rPr>
              <w:t>Когнитивная переоценка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587F6DF" w14:textId="77777777" w:rsidR="003A0B7E" w:rsidRDefault="00000000">
            <w:pPr>
              <w:jc w:val="center"/>
            </w:pPr>
            <w:r>
              <w:rPr>
                <w:sz w:val="18"/>
              </w:rPr>
              <w:t>3.12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C16A39A" w14:textId="77777777" w:rsidR="003A0B7E" w:rsidRDefault="00000000">
            <w:pPr>
              <w:jc w:val="center"/>
            </w:pPr>
            <w:r>
              <w:rPr>
                <w:sz w:val="18"/>
              </w:rPr>
              <w:t>0.93 (0.87–1.01)</w:t>
            </w:r>
          </w:p>
        </w:tc>
      </w:tr>
      <w:tr w:rsidR="003A0B7E" w14:paraId="7C136DE3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B3B7EF2" w14:textId="77777777" w:rsidR="003A0B7E" w:rsidRDefault="00000000">
            <w:r>
              <w:rPr>
                <w:sz w:val="18"/>
              </w:rPr>
              <w:t>Экспрессивное подавление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481DBE3" w14:textId="77777777" w:rsidR="003A0B7E" w:rsidRDefault="00000000">
            <w:pPr>
              <w:jc w:val="center"/>
            </w:pPr>
            <w:r>
              <w:rPr>
                <w:sz w:val="18"/>
              </w:rPr>
              <w:t>0.32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4DD625D" w14:textId="77777777" w:rsidR="003A0B7E" w:rsidRDefault="00000000">
            <w:pPr>
              <w:jc w:val="center"/>
            </w:pPr>
            <w:r>
              <w:rPr>
                <w:sz w:val="18"/>
              </w:rPr>
              <w:t>1.03 (0.93–1.14)</w:t>
            </w:r>
          </w:p>
        </w:tc>
      </w:tr>
      <w:tr w:rsidR="003A0B7E" w14:paraId="7797AFC3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06B9115" w14:textId="77777777" w:rsidR="003A0B7E" w:rsidRDefault="00000000">
            <w:r>
              <w:rPr>
                <w:sz w:val="18"/>
              </w:rPr>
              <w:t>Аверсивная чувствительность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9A99099" w14:textId="77777777" w:rsidR="003A0B7E" w:rsidRDefault="00000000">
            <w:pPr>
              <w:jc w:val="center"/>
            </w:pPr>
            <w:r>
              <w:rPr>
                <w:sz w:val="18"/>
              </w:rPr>
              <w:t>3.14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91CF960" w14:textId="77777777" w:rsidR="003A0B7E" w:rsidRDefault="00000000">
            <w:pPr>
              <w:jc w:val="center"/>
            </w:pPr>
            <w:r>
              <w:rPr>
                <w:sz w:val="18"/>
              </w:rPr>
              <w:t>1.15 (0.99–1.35)</w:t>
            </w:r>
          </w:p>
        </w:tc>
      </w:tr>
      <w:tr w:rsidR="003A0B7E" w14:paraId="59B72681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13ECE85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8"/>
              </w:rPr>
              <w:t>BAS</w:t>
            </w:r>
            <w:r w:rsidRPr="004D4BE7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Drive</w:t>
            </w:r>
            <w:r w:rsidRPr="004D4BE7">
              <w:rPr>
                <w:sz w:val="18"/>
                <w:lang w:val="ru-RU"/>
              </w:rPr>
              <w:t xml:space="preserve"> / стремление к цели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1856F67" w14:textId="77777777" w:rsidR="003A0B7E" w:rsidRDefault="00000000">
            <w:pPr>
              <w:jc w:val="center"/>
            </w:pPr>
            <w:r>
              <w:rPr>
                <w:sz w:val="18"/>
              </w:rPr>
              <w:t>4.61p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70F86E6" w14:textId="77777777" w:rsidR="003A0B7E" w:rsidRDefault="00000000">
            <w:pPr>
              <w:jc w:val="center"/>
            </w:pPr>
            <w:r>
              <w:rPr>
                <w:sz w:val="18"/>
              </w:rPr>
              <w:t>0.74 (0.56–0.97)</w:t>
            </w:r>
          </w:p>
        </w:tc>
      </w:tr>
      <w:tr w:rsidR="003A0B7E" w14:paraId="1A9399C6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24D13DA" w14:textId="77777777" w:rsidR="003A0B7E" w:rsidRPr="004D4BE7" w:rsidRDefault="00000000">
            <w:pPr>
              <w:rPr>
                <w:lang w:val="ru-RU"/>
              </w:rPr>
            </w:pPr>
            <w:r>
              <w:rPr>
                <w:sz w:val="18"/>
              </w:rPr>
              <w:t>BAS</w:t>
            </w:r>
            <w:r w:rsidRPr="004D4BE7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Fun</w:t>
            </w:r>
            <w:r w:rsidRPr="004D4BE7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Seeking</w:t>
            </w:r>
            <w:r w:rsidRPr="004D4BE7">
              <w:rPr>
                <w:sz w:val="18"/>
                <w:lang w:val="ru-RU"/>
              </w:rPr>
              <w:t xml:space="preserve"> / поиск удовольствий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1FF8F1A" w14:textId="77777777" w:rsidR="003A0B7E" w:rsidRDefault="00000000">
            <w:pPr>
              <w:jc w:val="center"/>
            </w:pPr>
            <w:r>
              <w:rPr>
                <w:sz w:val="18"/>
              </w:rPr>
              <w:t>9.94pp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421AA6C" w14:textId="77777777" w:rsidR="003A0B7E" w:rsidRDefault="00000000">
            <w:pPr>
              <w:jc w:val="center"/>
            </w:pPr>
            <w:r>
              <w:rPr>
                <w:sz w:val="18"/>
              </w:rPr>
              <w:t>1.60 (1.20–2.15)</w:t>
            </w:r>
          </w:p>
        </w:tc>
      </w:tr>
      <w:tr w:rsidR="003A0B7E" w14:paraId="74282D6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B7EFEAC" w14:textId="77777777" w:rsidR="003A0B7E" w:rsidRDefault="00000000">
            <w:r>
              <w:rPr>
                <w:sz w:val="18"/>
              </w:rPr>
              <w:t>Реакция на вознаграждение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1FCD9BC" w14:textId="77777777" w:rsidR="003A0B7E" w:rsidRDefault="00000000">
            <w:pPr>
              <w:jc w:val="center"/>
            </w:pPr>
            <w:r>
              <w:rPr>
                <w:sz w:val="18"/>
              </w:rPr>
              <w:t>0.02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C39E58E" w14:textId="77777777" w:rsidR="003A0B7E" w:rsidRDefault="00000000">
            <w:pPr>
              <w:jc w:val="center"/>
            </w:pPr>
            <w:r>
              <w:rPr>
                <w:sz w:val="18"/>
              </w:rPr>
              <w:t>0.98 (0.75–1.29)</w:t>
            </w:r>
          </w:p>
        </w:tc>
      </w:tr>
      <w:tr w:rsidR="003A0B7E" w14:paraId="2029DC68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462F128" w14:textId="77777777" w:rsidR="003A0B7E" w:rsidRDefault="00000000">
            <w:r>
              <w:rPr>
                <w:sz w:val="18"/>
              </w:rPr>
              <w:t>Критерий χ²: 31.03pp; Nagelkerke R² = 24.9%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2CA6778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9F03B90" w14:textId="77777777" w:rsidR="003A0B7E" w:rsidRDefault="003A0B7E">
            <w:pPr>
              <w:jc w:val="center"/>
            </w:pPr>
          </w:p>
        </w:tc>
      </w:tr>
    </w:tbl>
    <w:p w14:paraId="00F93423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Примечание. </w:t>
      </w:r>
      <w:r>
        <w:rPr>
          <w:sz w:val="16"/>
        </w:rPr>
        <w:t>HG</w:t>
      </w:r>
      <w:r w:rsidRPr="004D4BE7">
        <w:rPr>
          <w:sz w:val="16"/>
          <w:lang w:val="ru-RU"/>
        </w:rPr>
        <w:t xml:space="preserve"> — опасный гейминг; </w:t>
      </w:r>
      <w:r>
        <w:rPr>
          <w:sz w:val="16"/>
        </w:rPr>
        <w:t>Controls</w:t>
      </w:r>
      <w:r w:rsidRPr="004D4BE7">
        <w:rPr>
          <w:sz w:val="16"/>
          <w:lang w:val="ru-RU"/>
        </w:rPr>
        <w:t xml:space="preserve"> — контрольная группа.</w:t>
      </w:r>
    </w:p>
    <w:p w14:paraId="7351D896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ADHD</w:t>
      </w:r>
      <w:r w:rsidRPr="004D4BE7">
        <w:rPr>
          <w:sz w:val="16"/>
          <w:lang w:val="ru-RU"/>
        </w:rPr>
        <w:t xml:space="preserve"> — синдром дефицита внимания и гиперактивности.</w:t>
      </w:r>
    </w:p>
    <w:p w14:paraId="25EEE356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Депрессивное расстройство: лица с большим депрессивным эпизодом, большим депрессивным эпизодом в анамнезе или </w:t>
      </w:r>
      <w:proofErr w:type="spellStart"/>
      <w:r w:rsidRPr="004D4BE7">
        <w:rPr>
          <w:sz w:val="16"/>
          <w:lang w:val="ru-RU"/>
        </w:rPr>
        <w:t>персистирующим</w:t>
      </w:r>
      <w:proofErr w:type="spellEnd"/>
      <w:r w:rsidRPr="004D4BE7">
        <w:rPr>
          <w:sz w:val="16"/>
          <w:lang w:val="ru-RU"/>
        </w:rPr>
        <w:t xml:space="preserve"> депрессивным расстройством.</w:t>
      </w:r>
    </w:p>
    <w:p w14:paraId="58942E63" w14:textId="77777777" w:rsidR="003A0B7E" w:rsidRDefault="00000000">
      <w:pPr>
        <w:spacing w:after="20" w:line="240" w:lineRule="auto"/>
      </w:pPr>
      <w:r>
        <w:rPr>
          <w:sz w:val="16"/>
        </w:rPr>
        <w:t>CCPT — Conners’ Continuous Performance Test, 3-е издание.</w:t>
      </w:r>
    </w:p>
    <w:p w14:paraId="47C46521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95% ДИ — 95% доверительный интервал; </w:t>
      </w:r>
      <w:r>
        <w:rPr>
          <w:sz w:val="16"/>
        </w:rPr>
        <w:t>Wald</w:t>
      </w:r>
      <w:r w:rsidRPr="004D4BE7">
        <w:rPr>
          <w:sz w:val="16"/>
          <w:lang w:val="ru-RU"/>
        </w:rPr>
        <w:t xml:space="preserve"> </w:t>
      </w:r>
      <w:r>
        <w:rPr>
          <w:sz w:val="16"/>
        </w:rPr>
        <w:t>χ</w:t>
      </w:r>
      <w:r w:rsidRPr="004D4BE7">
        <w:rPr>
          <w:sz w:val="16"/>
          <w:lang w:val="ru-RU"/>
        </w:rPr>
        <w:t xml:space="preserve">² — критерий </w:t>
      </w:r>
      <w:r>
        <w:rPr>
          <w:sz w:val="16"/>
        </w:rPr>
        <w:t>χ</w:t>
      </w:r>
      <w:r w:rsidRPr="004D4BE7">
        <w:rPr>
          <w:sz w:val="16"/>
          <w:lang w:val="ru-RU"/>
        </w:rPr>
        <w:t xml:space="preserve">² </w:t>
      </w:r>
      <w:proofErr w:type="spellStart"/>
      <w:r w:rsidRPr="004D4BE7">
        <w:rPr>
          <w:sz w:val="16"/>
          <w:lang w:val="ru-RU"/>
        </w:rPr>
        <w:t>Уолда</w:t>
      </w:r>
      <w:proofErr w:type="spellEnd"/>
      <w:r w:rsidRPr="004D4BE7">
        <w:rPr>
          <w:sz w:val="16"/>
          <w:lang w:val="ru-RU"/>
        </w:rPr>
        <w:t>.</w:t>
      </w:r>
    </w:p>
    <w:p w14:paraId="546882AC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p</w:t>
      </w:r>
      <w:r w:rsidRPr="004D4BE7">
        <w:rPr>
          <w:sz w:val="16"/>
          <w:lang w:val="ru-RU"/>
        </w:rPr>
        <w:t xml:space="preserve"> &lt; 0.05, </w:t>
      </w:r>
      <w:r>
        <w:rPr>
          <w:sz w:val="16"/>
        </w:rPr>
        <w:t>pp</w:t>
      </w:r>
      <w:r w:rsidRPr="004D4BE7">
        <w:rPr>
          <w:sz w:val="16"/>
          <w:lang w:val="ru-RU"/>
        </w:rPr>
        <w:t xml:space="preserve"> &lt; 0.01, </w:t>
      </w:r>
      <w:proofErr w:type="spellStart"/>
      <w:r>
        <w:rPr>
          <w:sz w:val="16"/>
        </w:rPr>
        <w:t>ppp</w:t>
      </w:r>
      <w:proofErr w:type="spellEnd"/>
      <w:r w:rsidRPr="004D4BE7">
        <w:rPr>
          <w:sz w:val="16"/>
          <w:lang w:val="ru-RU"/>
        </w:rPr>
        <w:t xml:space="preserve"> &lt; 0.001.</w:t>
      </w:r>
    </w:p>
    <w:p w14:paraId="4869D89A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>Пост-</w:t>
      </w:r>
      <w:proofErr w:type="spellStart"/>
      <w:r w:rsidRPr="004D4BE7">
        <w:rPr>
          <w:lang w:val="ru-RU"/>
        </w:rPr>
        <w:t>хок</w:t>
      </w:r>
      <w:proofErr w:type="spellEnd"/>
      <w:r w:rsidRPr="004D4BE7">
        <w:rPr>
          <w:lang w:val="ru-RU"/>
        </w:rPr>
        <w:t xml:space="preserve"> анализ </w:t>
      </w:r>
      <w:proofErr w:type="spellStart"/>
      <w:r w:rsidRPr="004D4BE7">
        <w:rPr>
          <w:lang w:val="ru-RU"/>
        </w:rPr>
        <w:t>Бонферрони</w:t>
      </w:r>
      <w:proofErr w:type="spellEnd"/>
      <w:r w:rsidRPr="004D4BE7">
        <w:rPr>
          <w:lang w:val="ru-RU"/>
        </w:rPr>
        <w:t xml:space="preserve"> также показал, что группа </w:t>
      </w:r>
      <w:r>
        <w:t>HG</w:t>
      </w:r>
      <w:r w:rsidRPr="004D4BE7">
        <w:rPr>
          <w:lang w:val="ru-RU"/>
        </w:rPr>
        <w:t xml:space="preserve"> по сравнению с контролем имела статистически значимо более высокие показатели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(</w:t>
      </w:r>
      <w:r>
        <w:t>d</w:t>
      </w:r>
      <w:r w:rsidRPr="004D4BE7">
        <w:rPr>
          <w:lang w:val="ru-RU"/>
        </w:rPr>
        <w:t xml:space="preserve"> </w:t>
      </w:r>
      <w:r w:rsidRPr="004D4BE7">
        <w:rPr>
          <w:lang w:val="ru-RU"/>
        </w:rPr>
        <w:lastRenderedPageBreak/>
        <w:t>Коэна = 0.50) и поиска удовольствий (</w:t>
      </w:r>
      <w:r>
        <w:t>d</w:t>
      </w:r>
      <w:r w:rsidRPr="004D4BE7">
        <w:rPr>
          <w:lang w:val="ru-RU"/>
        </w:rPr>
        <w:t xml:space="preserve"> Коэна = 0.54), а также более низкие показатели когнитивной переоценки (</w:t>
      </w:r>
      <w:r>
        <w:t>d</w:t>
      </w:r>
      <w:r w:rsidRPr="004D4BE7">
        <w:rPr>
          <w:lang w:val="ru-RU"/>
        </w:rPr>
        <w:t xml:space="preserve"> Коэна = 0.43) (табл. 1). Логистическая регрессионная модель для </w:t>
      </w:r>
      <w:r>
        <w:t>HG</w:t>
      </w:r>
      <w:r w:rsidRPr="004D4BE7">
        <w:rPr>
          <w:lang w:val="ru-RU"/>
        </w:rPr>
        <w:t xml:space="preserve"> по сравнению с контролем была статистически значимой: </w:t>
      </w:r>
      <w:r>
        <w:t>χ</w:t>
      </w:r>
      <w:r w:rsidRPr="004D4BE7">
        <w:rPr>
          <w:lang w:val="ru-RU"/>
        </w:rPr>
        <w:t xml:space="preserve">² = 31.03, </w:t>
      </w:r>
      <w:r>
        <w:t>p</w:t>
      </w:r>
      <w:r w:rsidRPr="004D4BE7">
        <w:rPr>
          <w:lang w:val="ru-RU"/>
        </w:rPr>
        <w:t xml:space="preserve"> = 0.005 (модель 2 в табл. 3). Она объясняла 24.9% дисперсии </w:t>
      </w:r>
      <w:r>
        <w:t>HG</w:t>
      </w:r>
      <w:r w:rsidRPr="004D4BE7">
        <w:rPr>
          <w:lang w:val="ru-RU"/>
        </w:rPr>
        <w:t xml:space="preserve"> (</w:t>
      </w:r>
      <w:proofErr w:type="spellStart"/>
      <w:r>
        <w:t>Nagelkerke</w:t>
      </w:r>
      <w:proofErr w:type="spellEnd"/>
      <w:r w:rsidRPr="004D4BE7">
        <w:rPr>
          <w:lang w:val="ru-RU"/>
        </w:rPr>
        <w:t xml:space="preserve"> </w:t>
      </w:r>
      <w:r>
        <w:t>R</w:t>
      </w:r>
      <w:r w:rsidRPr="004D4BE7">
        <w:rPr>
          <w:lang w:val="ru-RU"/>
        </w:rPr>
        <w:t xml:space="preserve">²) и правильно классифицировала 75.2% участников. Повышение показателя </w:t>
      </w:r>
      <w:r>
        <w:t>BAS</w:t>
      </w:r>
      <w:r w:rsidRPr="004D4BE7">
        <w:rPr>
          <w:lang w:val="ru-RU"/>
        </w:rPr>
        <w:t>-</w:t>
      </w:r>
      <w:r>
        <w:t>Fun</w:t>
      </w:r>
      <w:r w:rsidRPr="004D4BE7">
        <w:rPr>
          <w:lang w:val="ru-RU"/>
        </w:rPr>
        <w:t xml:space="preserve"> </w:t>
      </w:r>
      <w:r>
        <w:t>Seeking</w:t>
      </w:r>
      <w:r w:rsidRPr="004D4BE7">
        <w:rPr>
          <w:lang w:val="ru-RU"/>
        </w:rPr>
        <w:t xml:space="preserve"> / поиска удовольствий (</w:t>
      </w:r>
      <w:r>
        <w:t>OR</w:t>
      </w:r>
      <w:r w:rsidRPr="004D4BE7">
        <w:rPr>
          <w:lang w:val="ru-RU"/>
        </w:rPr>
        <w:t xml:space="preserve"> = 1.56; 95% ДИ = 1.22–1.99) было связано с большей вероятностью диагноза </w:t>
      </w:r>
      <w:r>
        <w:t>HG</w:t>
      </w:r>
      <w:r w:rsidRPr="004D4BE7">
        <w:rPr>
          <w:lang w:val="ru-RU"/>
        </w:rPr>
        <w:t xml:space="preserve">. Более высокий показатель </w:t>
      </w:r>
      <w:r>
        <w:t>BAS</w:t>
      </w:r>
      <w:r w:rsidRPr="004D4BE7">
        <w:rPr>
          <w:lang w:val="ru-RU"/>
        </w:rPr>
        <w:t>-</w:t>
      </w:r>
      <w:r>
        <w:t>Drive</w:t>
      </w:r>
      <w:r w:rsidRPr="004D4BE7">
        <w:rPr>
          <w:lang w:val="ru-RU"/>
        </w:rPr>
        <w:t xml:space="preserve"> / стремления к цели был связан со снижением вероятности </w:t>
      </w:r>
      <w:r>
        <w:t>HG</w:t>
      </w:r>
      <w:r w:rsidRPr="004D4BE7">
        <w:rPr>
          <w:lang w:val="ru-RU"/>
        </w:rPr>
        <w:t xml:space="preserve"> (</w:t>
      </w:r>
      <w:r>
        <w:t>OR</w:t>
      </w:r>
      <w:r w:rsidRPr="004D4BE7">
        <w:rPr>
          <w:lang w:val="ru-RU"/>
        </w:rPr>
        <w:t xml:space="preserve"> = 0.74; 95% ДИ = 0.56–0.97).</w:t>
      </w:r>
    </w:p>
    <w:p w14:paraId="1FA756CD" w14:textId="77777777" w:rsidR="003A0B7E" w:rsidRPr="004D4BE7" w:rsidRDefault="00000000">
      <w:pPr>
        <w:spacing w:before="160" w:after="60"/>
        <w:rPr>
          <w:lang w:val="ru-RU"/>
        </w:rPr>
      </w:pPr>
      <w:r w:rsidRPr="004D4BE7">
        <w:rPr>
          <w:b/>
          <w:sz w:val="22"/>
          <w:lang w:val="ru-RU"/>
        </w:rPr>
        <w:t>Таблица 4. Логистическая регрессия, оценивающая связь психиатрических расстройств и факторов риска с игровым расстройством (</w:t>
      </w:r>
      <w:r>
        <w:rPr>
          <w:b/>
          <w:sz w:val="22"/>
        </w:rPr>
        <w:t>GD</w:t>
      </w:r>
      <w:r w:rsidRPr="004D4BE7">
        <w:rPr>
          <w:b/>
          <w:sz w:val="22"/>
          <w:lang w:val="ru-RU"/>
        </w:rPr>
        <w:t>) по сравнению с опасным геймингом (</w:t>
      </w:r>
      <w:r>
        <w:rPr>
          <w:b/>
          <w:sz w:val="22"/>
        </w:rPr>
        <w:t>HG</w:t>
      </w:r>
      <w:r w:rsidRPr="004D4BE7">
        <w:rPr>
          <w:b/>
          <w:sz w:val="22"/>
          <w:lang w:val="ru-RU"/>
        </w:rPr>
        <w:t>), с поправкой на пол и возраст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6"/>
        <w:gridCol w:w="1531"/>
        <w:gridCol w:w="3175"/>
      </w:tblGrid>
      <w:tr w:rsidR="003A0B7E" w14:paraId="19ECE4F2" w14:textId="77777777">
        <w:trPr>
          <w:jc w:val="center"/>
        </w:trPr>
        <w:tc>
          <w:tcPr>
            <w:tcW w:w="5216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B9BB8E" w14:textId="77777777" w:rsidR="003A0B7E" w:rsidRPr="004D4BE7" w:rsidRDefault="00000000">
            <w:pPr>
              <w:jc w:val="center"/>
              <w:rPr>
                <w:lang w:val="ru-RU"/>
              </w:rPr>
            </w:pPr>
            <w:r>
              <w:rPr>
                <w:b/>
                <w:sz w:val="18"/>
              </w:rPr>
              <w:t>GD</w:t>
            </w:r>
            <w:r w:rsidRPr="004D4BE7">
              <w:rPr>
                <w:b/>
                <w:sz w:val="18"/>
                <w:lang w:val="ru-RU"/>
              </w:rPr>
              <w:t xml:space="preserve"> по сравнению с </w:t>
            </w:r>
            <w:r>
              <w:rPr>
                <w:b/>
                <w:sz w:val="18"/>
              </w:rPr>
              <w:t>HG</w:t>
            </w:r>
          </w:p>
        </w:tc>
        <w:tc>
          <w:tcPr>
            <w:tcW w:w="1531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5D228E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Wald χ²</w:t>
            </w:r>
          </w:p>
        </w:tc>
        <w:tc>
          <w:tcPr>
            <w:tcW w:w="3175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03980B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Отношение шансов (95% ДИ)</w:t>
            </w:r>
          </w:p>
        </w:tc>
      </w:tr>
      <w:tr w:rsidR="003A0B7E" w14:paraId="17D442C0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017D0A3" w14:textId="77777777" w:rsidR="003A0B7E" w:rsidRDefault="00000000">
            <w:r>
              <w:rPr>
                <w:sz w:val="18"/>
              </w:rPr>
              <w:t>Модель 1: психиатрическая коморбидность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CABC3F3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48906BD" w14:textId="77777777" w:rsidR="003A0B7E" w:rsidRDefault="003A0B7E">
            <w:pPr>
              <w:jc w:val="center"/>
            </w:pPr>
          </w:p>
        </w:tc>
      </w:tr>
      <w:tr w:rsidR="003A0B7E" w14:paraId="5FF10139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5117B2B" w14:textId="77777777" w:rsidR="003A0B7E" w:rsidRDefault="00000000">
            <w:r>
              <w:rPr>
                <w:sz w:val="18"/>
              </w:rPr>
              <w:t>Пол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AAEFC09" w14:textId="77777777" w:rsidR="003A0B7E" w:rsidRDefault="00000000">
            <w:pPr>
              <w:jc w:val="center"/>
            </w:pPr>
            <w:r>
              <w:rPr>
                <w:sz w:val="18"/>
              </w:rPr>
              <w:t>2.11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607AFD3" w14:textId="77777777" w:rsidR="003A0B7E" w:rsidRDefault="00000000">
            <w:pPr>
              <w:jc w:val="center"/>
            </w:pPr>
            <w:r>
              <w:rPr>
                <w:sz w:val="18"/>
              </w:rPr>
              <w:t>2.23 (0.75–6.62)</w:t>
            </w:r>
          </w:p>
        </w:tc>
      </w:tr>
      <w:tr w:rsidR="003A0B7E" w14:paraId="626B2103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BC8E42A" w14:textId="77777777" w:rsidR="003A0B7E" w:rsidRDefault="00000000">
            <w:r>
              <w:rPr>
                <w:sz w:val="18"/>
              </w:rPr>
              <w:t>Возраст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4E5EDC9" w14:textId="77777777" w:rsidR="003A0B7E" w:rsidRDefault="00000000">
            <w:pPr>
              <w:jc w:val="center"/>
            </w:pPr>
            <w:r>
              <w:rPr>
                <w:sz w:val="18"/>
              </w:rPr>
              <w:t>0.03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3DFF949" w14:textId="77777777" w:rsidR="003A0B7E" w:rsidRDefault="00000000">
            <w:pPr>
              <w:jc w:val="center"/>
            </w:pPr>
            <w:r>
              <w:rPr>
                <w:sz w:val="18"/>
              </w:rPr>
              <w:t>1.01 (0.92–1.11)</w:t>
            </w:r>
          </w:p>
        </w:tc>
      </w:tr>
      <w:tr w:rsidR="003A0B7E" w14:paraId="5D6C545D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2DE5279" w14:textId="77777777" w:rsidR="003A0B7E" w:rsidRDefault="00000000">
            <w:r>
              <w:rPr>
                <w:sz w:val="18"/>
              </w:rPr>
              <w:t>ADHD у взрослых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60EB263" w14:textId="77777777" w:rsidR="003A0B7E" w:rsidRDefault="00000000">
            <w:pPr>
              <w:jc w:val="center"/>
            </w:pPr>
            <w:r>
              <w:rPr>
                <w:sz w:val="18"/>
              </w:rPr>
              <w:t>3.71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CDE7646" w14:textId="77777777" w:rsidR="003A0B7E" w:rsidRDefault="00000000">
            <w:pPr>
              <w:jc w:val="center"/>
            </w:pPr>
            <w:r>
              <w:rPr>
                <w:sz w:val="18"/>
              </w:rPr>
              <w:t>2.39 (0.98–5.81)</w:t>
            </w:r>
          </w:p>
        </w:tc>
      </w:tr>
      <w:tr w:rsidR="003A0B7E" w14:paraId="70F7B13C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FED5412" w14:textId="77777777" w:rsidR="003A0B7E" w:rsidRDefault="00000000">
            <w:r>
              <w:rPr>
                <w:sz w:val="18"/>
              </w:rPr>
              <w:t>Депрессивное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EBEF9AC" w14:textId="77777777" w:rsidR="003A0B7E" w:rsidRDefault="00000000">
            <w:pPr>
              <w:jc w:val="center"/>
            </w:pPr>
            <w:r>
              <w:rPr>
                <w:sz w:val="18"/>
              </w:rPr>
              <w:t>9.00pp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F7D3219" w14:textId="77777777" w:rsidR="003A0B7E" w:rsidRDefault="00000000">
            <w:pPr>
              <w:jc w:val="center"/>
            </w:pPr>
            <w:r>
              <w:rPr>
                <w:sz w:val="18"/>
              </w:rPr>
              <w:t>7.51 (2.01–28.04)</w:t>
            </w:r>
          </w:p>
        </w:tc>
      </w:tr>
      <w:tr w:rsidR="003A0B7E" w14:paraId="6140DA49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95747ED" w14:textId="77777777" w:rsidR="003A0B7E" w:rsidRDefault="00000000">
            <w:r>
              <w:rPr>
                <w:sz w:val="18"/>
              </w:rPr>
              <w:t>Генерализованное тревожное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46F35F9" w14:textId="77777777" w:rsidR="003A0B7E" w:rsidRDefault="00000000">
            <w:pPr>
              <w:jc w:val="center"/>
            </w:pPr>
            <w:r>
              <w:rPr>
                <w:sz w:val="18"/>
              </w:rPr>
              <w:t>1.58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9767A5B" w14:textId="77777777" w:rsidR="003A0B7E" w:rsidRDefault="00000000">
            <w:pPr>
              <w:jc w:val="center"/>
            </w:pPr>
            <w:r>
              <w:rPr>
                <w:sz w:val="18"/>
              </w:rPr>
              <w:t>2.00 (0.68–5.90)</w:t>
            </w:r>
          </w:p>
        </w:tc>
      </w:tr>
      <w:tr w:rsidR="003A0B7E" w14:paraId="68BBA28E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0030B92" w14:textId="77777777" w:rsidR="003A0B7E" w:rsidRDefault="00000000">
            <w:r>
              <w:rPr>
                <w:sz w:val="18"/>
              </w:rPr>
              <w:t>Социальное тревожное расстройство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FDFACD7" w14:textId="77777777" w:rsidR="003A0B7E" w:rsidRDefault="00000000">
            <w:pPr>
              <w:jc w:val="center"/>
            </w:pPr>
            <w:r>
              <w:rPr>
                <w:sz w:val="18"/>
              </w:rPr>
              <w:t>1.32</w:t>
            </w: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2F694EA" w14:textId="77777777" w:rsidR="003A0B7E" w:rsidRDefault="00000000">
            <w:pPr>
              <w:jc w:val="center"/>
            </w:pPr>
            <w:r>
              <w:rPr>
                <w:sz w:val="18"/>
              </w:rPr>
              <w:t>4.38 (0.35–54.57)</w:t>
            </w:r>
          </w:p>
        </w:tc>
      </w:tr>
      <w:tr w:rsidR="003A0B7E" w14:paraId="057D6FD9" w14:textId="77777777">
        <w:trPr>
          <w:jc w:val="center"/>
        </w:trPr>
        <w:tc>
          <w:tcPr>
            <w:tcW w:w="5216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15821B8" w14:textId="77777777" w:rsidR="003A0B7E" w:rsidRDefault="00000000">
            <w:r>
              <w:rPr>
                <w:sz w:val="18"/>
              </w:rPr>
              <w:t>Критерий χ²: 22.87pp; Nagelkerke R² = 26.3%</w:t>
            </w:r>
          </w:p>
        </w:tc>
        <w:tc>
          <w:tcPr>
            <w:tcW w:w="1531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D12342F" w14:textId="77777777" w:rsidR="003A0B7E" w:rsidRDefault="003A0B7E">
            <w:pPr>
              <w:jc w:val="center"/>
            </w:pPr>
          </w:p>
        </w:tc>
        <w:tc>
          <w:tcPr>
            <w:tcW w:w="3175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E68CC96" w14:textId="77777777" w:rsidR="003A0B7E" w:rsidRDefault="003A0B7E">
            <w:pPr>
              <w:jc w:val="center"/>
            </w:pPr>
          </w:p>
        </w:tc>
      </w:tr>
    </w:tbl>
    <w:p w14:paraId="38388F64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Примечание. </w:t>
      </w:r>
      <w:r>
        <w:rPr>
          <w:sz w:val="16"/>
        </w:rPr>
        <w:t>GD</w:t>
      </w:r>
      <w:r w:rsidRPr="004D4BE7">
        <w:rPr>
          <w:sz w:val="16"/>
          <w:lang w:val="ru-RU"/>
        </w:rPr>
        <w:t xml:space="preserve"> — игровое расстройство; </w:t>
      </w:r>
      <w:r>
        <w:rPr>
          <w:sz w:val="16"/>
        </w:rPr>
        <w:t>HG</w:t>
      </w:r>
      <w:r w:rsidRPr="004D4BE7">
        <w:rPr>
          <w:sz w:val="16"/>
          <w:lang w:val="ru-RU"/>
        </w:rPr>
        <w:t xml:space="preserve"> — опасный гейминг.</w:t>
      </w:r>
    </w:p>
    <w:p w14:paraId="6CE1D052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ADHD</w:t>
      </w:r>
      <w:r w:rsidRPr="004D4BE7">
        <w:rPr>
          <w:sz w:val="16"/>
          <w:lang w:val="ru-RU"/>
        </w:rPr>
        <w:t xml:space="preserve"> — синдром дефицита внимания и гиперактивности.</w:t>
      </w:r>
    </w:p>
    <w:p w14:paraId="2E01CBFB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Депрессивное расстройство: лица с большим депрессивным эпизодом, большим депрессивным эпизодом в анамнезе или </w:t>
      </w:r>
      <w:proofErr w:type="spellStart"/>
      <w:r w:rsidRPr="004D4BE7">
        <w:rPr>
          <w:sz w:val="16"/>
          <w:lang w:val="ru-RU"/>
        </w:rPr>
        <w:t>персистирующим</w:t>
      </w:r>
      <w:proofErr w:type="spellEnd"/>
      <w:r w:rsidRPr="004D4BE7">
        <w:rPr>
          <w:sz w:val="16"/>
          <w:lang w:val="ru-RU"/>
        </w:rPr>
        <w:t xml:space="preserve"> депрессивным расстройством.</w:t>
      </w:r>
    </w:p>
    <w:p w14:paraId="15FB2F22" w14:textId="77777777" w:rsidR="003A0B7E" w:rsidRPr="004D4BE7" w:rsidRDefault="00000000">
      <w:pPr>
        <w:spacing w:after="20" w:line="240" w:lineRule="auto"/>
        <w:rPr>
          <w:lang w:val="ru-RU"/>
        </w:rPr>
      </w:pPr>
      <w:r w:rsidRPr="004D4BE7">
        <w:rPr>
          <w:sz w:val="16"/>
          <w:lang w:val="ru-RU"/>
        </w:rPr>
        <w:t xml:space="preserve">95% ДИ — 95% доверительный интервал; </w:t>
      </w:r>
      <w:r>
        <w:rPr>
          <w:sz w:val="16"/>
        </w:rPr>
        <w:t>Wald</w:t>
      </w:r>
      <w:r w:rsidRPr="004D4BE7">
        <w:rPr>
          <w:sz w:val="16"/>
          <w:lang w:val="ru-RU"/>
        </w:rPr>
        <w:t xml:space="preserve"> </w:t>
      </w:r>
      <w:r>
        <w:rPr>
          <w:sz w:val="16"/>
        </w:rPr>
        <w:t>χ</w:t>
      </w:r>
      <w:r w:rsidRPr="004D4BE7">
        <w:rPr>
          <w:sz w:val="16"/>
          <w:lang w:val="ru-RU"/>
        </w:rPr>
        <w:t xml:space="preserve">² — критерий </w:t>
      </w:r>
      <w:r>
        <w:rPr>
          <w:sz w:val="16"/>
        </w:rPr>
        <w:t>χ</w:t>
      </w:r>
      <w:r w:rsidRPr="004D4BE7">
        <w:rPr>
          <w:sz w:val="16"/>
          <w:lang w:val="ru-RU"/>
        </w:rPr>
        <w:t xml:space="preserve">² </w:t>
      </w:r>
      <w:proofErr w:type="spellStart"/>
      <w:r w:rsidRPr="004D4BE7">
        <w:rPr>
          <w:sz w:val="16"/>
          <w:lang w:val="ru-RU"/>
        </w:rPr>
        <w:t>Уолда</w:t>
      </w:r>
      <w:proofErr w:type="spellEnd"/>
      <w:r w:rsidRPr="004D4BE7">
        <w:rPr>
          <w:sz w:val="16"/>
          <w:lang w:val="ru-RU"/>
        </w:rPr>
        <w:t>.</w:t>
      </w:r>
    </w:p>
    <w:p w14:paraId="604BE1BF" w14:textId="77777777" w:rsidR="003A0B7E" w:rsidRPr="004D4BE7" w:rsidRDefault="00000000">
      <w:pPr>
        <w:spacing w:after="20" w:line="240" w:lineRule="auto"/>
        <w:rPr>
          <w:lang w:val="ru-RU"/>
        </w:rPr>
      </w:pPr>
      <w:r>
        <w:rPr>
          <w:sz w:val="16"/>
        </w:rPr>
        <w:t>pp</w:t>
      </w:r>
      <w:r w:rsidRPr="004D4BE7">
        <w:rPr>
          <w:sz w:val="16"/>
          <w:lang w:val="ru-RU"/>
        </w:rPr>
        <w:t xml:space="preserve"> &lt; 0.01.</w:t>
      </w:r>
    </w:p>
    <w:p w14:paraId="5A2057A4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Обсуждение</w:t>
      </w:r>
    </w:p>
    <w:p w14:paraId="25CF2711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>Настоящее исследование типа случай-контроль с использованием диагностических интервью показало, что у взрослых с игровым расстройством (</w:t>
      </w:r>
      <w:r>
        <w:t>GD</w:t>
      </w:r>
      <w:r w:rsidRPr="004D4BE7">
        <w:rPr>
          <w:lang w:val="ru-RU"/>
        </w:rPr>
        <w:t>) или опасным геймингом (</w:t>
      </w:r>
      <w:r>
        <w:t>HG</w:t>
      </w:r>
      <w:r w:rsidRPr="004D4BE7">
        <w:rPr>
          <w:lang w:val="ru-RU"/>
        </w:rPr>
        <w:t xml:space="preserve">) по критериям </w:t>
      </w:r>
      <w:r>
        <w:t>ICD</w:t>
      </w:r>
      <w:r w:rsidRPr="004D4BE7">
        <w:rPr>
          <w:lang w:val="ru-RU"/>
        </w:rPr>
        <w:t xml:space="preserve">-11 имеются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с синдромом дефицита внимания и гиперактивности (</w:t>
      </w:r>
      <w:r>
        <w:t>ADHD</w:t>
      </w:r>
      <w:r w:rsidRPr="004D4BE7">
        <w:rPr>
          <w:lang w:val="ru-RU"/>
        </w:rPr>
        <w:t>), депрессивным расстройством и генерализованным тревожным расстройством (</w:t>
      </w:r>
      <w:r>
        <w:t>GAD</w:t>
      </w:r>
      <w:r w:rsidRPr="004D4BE7">
        <w:rPr>
          <w:lang w:val="ru-RU"/>
        </w:rPr>
        <w:t xml:space="preserve">), что сходно с ранее опубликованными данными для </w:t>
      </w:r>
      <w:r>
        <w:t>IGD</w:t>
      </w:r>
      <w:r w:rsidRPr="004D4BE7">
        <w:rPr>
          <w:lang w:val="ru-RU"/>
        </w:rPr>
        <w:t xml:space="preserve"> по </w:t>
      </w:r>
      <w:r>
        <w:t>DSM</w:t>
      </w:r>
      <w:r w:rsidRPr="004D4BE7">
        <w:rPr>
          <w:lang w:val="ru-RU"/>
        </w:rPr>
        <w:t>-5 (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Mart</w:t>
      </w:r>
      <w:r w:rsidRPr="004D4BE7">
        <w:rPr>
          <w:lang w:val="ru-RU"/>
        </w:rPr>
        <w:t>í</w:t>
      </w:r>
      <w:r>
        <w:t>n</w:t>
      </w:r>
      <w:r w:rsidRPr="004D4BE7">
        <w:rPr>
          <w:lang w:val="ru-RU"/>
        </w:rPr>
        <w:t>-</w:t>
      </w:r>
      <w:r>
        <w:t>Fern</w:t>
      </w:r>
      <w:r w:rsidRPr="004D4BE7">
        <w:rPr>
          <w:lang w:val="ru-RU"/>
        </w:rPr>
        <w:t>á</w:t>
      </w:r>
      <w:proofErr w:type="spellStart"/>
      <w:r>
        <w:t>ndez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2016; </w:t>
      </w:r>
      <w:r>
        <w:t>Wang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2017; </w:t>
      </w:r>
      <w:r>
        <w:t>Yen</w:t>
      </w:r>
      <w:r w:rsidRPr="004D4BE7">
        <w:rPr>
          <w:lang w:val="ru-RU"/>
        </w:rPr>
        <w:t xml:space="preserve">, </w:t>
      </w:r>
      <w:r>
        <w:t>Liu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2017). По сравнению с контролем лица с </w:t>
      </w:r>
      <w:r>
        <w:t>GD</w:t>
      </w:r>
      <w:r w:rsidRPr="004D4BE7">
        <w:rPr>
          <w:lang w:val="ru-RU"/>
        </w:rPr>
        <w:t xml:space="preserve"> имели более высокую импульсивность, более низкий уровень регуляции эмоций и более высокую </w:t>
      </w:r>
      <w:proofErr w:type="spellStart"/>
      <w:r w:rsidRPr="004D4BE7">
        <w:rPr>
          <w:lang w:val="ru-RU"/>
        </w:rPr>
        <w:t>аверсивную</w:t>
      </w:r>
      <w:proofErr w:type="spellEnd"/>
      <w:r w:rsidRPr="004D4BE7">
        <w:rPr>
          <w:lang w:val="ru-RU"/>
        </w:rPr>
        <w:t xml:space="preserve"> чувствительность, что соответствует данным предыдущих работ (</w:t>
      </w:r>
      <w:r>
        <w:t>Lin</w:t>
      </w:r>
      <w:r w:rsidRPr="004D4BE7">
        <w:rPr>
          <w:lang w:val="ru-RU"/>
        </w:rPr>
        <w:t xml:space="preserve">, </w:t>
      </w:r>
      <w:r>
        <w:t>Lin</w:t>
      </w:r>
      <w:r w:rsidRPr="004D4BE7">
        <w:rPr>
          <w:lang w:val="ru-RU"/>
        </w:rPr>
        <w:t xml:space="preserve">, </w:t>
      </w:r>
      <w:r>
        <w:t>Lin</w:t>
      </w:r>
      <w:r w:rsidRPr="004D4BE7">
        <w:rPr>
          <w:lang w:val="ru-RU"/>
        </w:rPr>
        <w:t xml:space="preserve">, </w:t>
      </w:r>
      <w:r>
        <w:t>Yen</w:t>
      </w:r>
      <w:r w:rsidRPr="004D4BE7">
        <w:rPr>
          <w:lang w:val="ru-RU"/>
        </w:rPr>
        <w:t xml:space="preserve">, &amp; </w:t>
      </w:r>
      <w:r>
        <w:t>Ko</w:t>
      </w:r>
      <w:r w:rsidRPr="004D4BE7">
        <w:rPr>
          <w:lang w:val="ru-RU"/>
        </w:rPr>
        <w:t xml:space="preserve">, 2020; </w:t>
      </w:r>
      <w:r>
        <w:t>Wang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2017; </w:t>
      </w:r>
      <w:r>
        <w:t>Yen</w:t>
      </w:r>
      <w:r w:rsidRPr="004D4BE7">
        <w:rPr>
          <w:lang w:val="ru-RU"/>
        </w:rPr>
        <w:t xml:space="preserve">, </w:t>
      </w:r>
      <w:r>
        <w:t>Liu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2017). В отличие от этого, у лиц с </w:t>
      </w:r>
      <w:r>
        <w:t>HG</w:t>
      </w:r>
      <w:r w:rsidRPr="004D4BE7">
        <w:rPr>
          <w:lang w:val="ru-RU"/>
        </w:rPr>
        <w:t xml:space="preserve"> по сравнению с контролем были выше показатели поиска удовольствий и ниже показатели </w:t>
      </w:r>
      <w:r>
        <w:t>BAS</w:t>
      </w:r>
      <w:r w:rsidRPr="004D4BE7">
        <w:rPr>
          <w:lang w:val="ru-RU"/>
        </w:rPr>
        <w:t>-</w:t>
      </w:r>
      <w:r>
        <w:t>Drive</w:t>
      </w:r>
      <w:r w:rsidRPr="004D4BE7">
        <w:rPr>
          <w:lang w:val="ru-RU"/>
        </w:rPr>
        <w:t xml:space="preserve"> / стремления к цели.</w:t>
      </w:r>
    </w:p>
    <w:p w14:paraId="171A6DA7" w14:textId="77777777" w:rsidR="003A0B7E" w:rsidRPr="004D4BE7" w:rsidRDefault="00000000">
      <w:pPr>
        <w:spacing w:before="180" w:after="80"/>
        <w:rPr>
          <w:lang w:val="ru-RU"/>
        </w:rPr>
      </w:pPr>
      <w:proofErr w:type="spellStart"/>
      <w:r w:rsidRPr="004D4BE7">
        <w:rPr>
          <w:b/>
          <w:color w:val="373737"/>
          <w:sz w:val="26"/>
          <w:lang w:val="ru-RU"/>
        </w:rPr>
        <w:t>Коморбидность</w:t>
      </w:r>
      <w:proofErr w:type="spellEnd"/>
      <w:r w:rsidRPr="004D4BE7">
        <w:rPr>
          <w:b/>
          <w:color w:val="373737"/>
          <w:sz w:val="26"/>
          <w:lang w:val="ru-RU"/>
        </w:rPr>
        <w:t xml:space="preserve"> с </w:t>
      </w:r>
      <w:r>
        <w:rPr>
          <w:b/>
          <w:color w:val="373737"/>
          <w:sz w:val="26"/>
        </w:rPr>
        <w:t>ADHD</w:t>
      </w:r>
      <w:r w:rsidRPr="004D4BE7">
        <w:rPr>
          <w:b/>
          <w:color w:val="373737"/>
          <w:sz w:val="26"/>
          <w:lang w:val="ru-RU"/>
        </w:rPr>
        <w:t xml:space="preserve"> и импульсивность у лиц с игровым расстройством</w:t>
      </w:r>
    </w:p>
    <w:p w14:paraId="6BED552A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>
        <w:t>ADHD</w:t>
      </w:r>
      <w:r w:rsidRPr="004D4BE7">
        <w:rPr>
          <w:lang w:val="ru-RU"/>
        </w:rPr>
        <w:t xml:space="preserve"> — одно из наиболее часто сообщаемых </w:t>
      </w:r>
      <w:proofErr w:type="spellStart"/>
      <w:r w:rsidRPr="004D4BE7">
        <w:rPr>
          <w:lang w:val="ru-RU"/>
        </w:rPr>
        <w:t>коморбидных</w:t>
      </w:r>
      <w:proofErr w:type="spellEnd"/>
      <w:r w:rsidRPr="004D4BE7">
        <w:rPr>
          <w:lang w:val="ru-RU"/>
        </w:rPr>
        <w:t xml:space="preserve"> психических расстройств при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Dullur</w:t>
      </w:r>
      <w:proofErr w:type="spellEnd"/>
      <w:r w:rsidRPr="004D4BE7">
        <w:rPr>
          <w:lang w:val="ru-RU"/>
        </w:rPr>
        <w:t xml:space="preserve">, </w:t>
      </w:r>
      <w:r>
        <w:t>Krishnan</w:t>
      </w:r>
      <w:r w:rsidRPr="004D4BE7">
        <w:rPr>
          <w:lang w:val="ru-RU"/>
        </w:rPr>
        <w:t xml:space="preserve">, &amp; </w:t>
      </w:r>
      <w:r>
        <w:t>Diaz</w:t>
      </w:r>
      <w:r w:rsidRPr="004D4BE7">
        <w:rPr>
          <w:lang w:val="ru-RU"/>
        </w:rPr>
        <w:t xml:space="preserve">, 2021; </w:t>
      </w:r>
      <w:proofErr w:type="spellStart"/>
      <w:r>
        <w:t>Gonz</w:t>
      </w:r>
      <w:proofErr w:type="spellEnd"/>
      <w:r w:rsidRPr="004D4BE7">
        <w:rPr>
          <w:lang w:val="ru-RU"/>
        </w:rPr>
        <w:t>á</w:t>
      </w:r>
      <w:r>
        <w:t>lez</w:t>
      </w:r>
      <w:r w:rsidRPr="004D4BE7">
        <w:rPr>
          <w:lang w:val="ru-RU"/>
        </w:rPr>
        <w:t>-</w:t>
      </w:r>
      <w:r>
        <w:t>Bueso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2018; </w:t>
      </w:r>
      <w:proofErr w:type="spellStart"/>
      <w:r>
        <w:t>Koncz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2023, 2024; </w:t>
      </w:r>
      <w:r>
        <w:t>Wang</w:t>
      </w:r>
      <w:r w:rsidRPr="004D4BE7">
        <w:rPr>
          <w:lang w:val="ru-RU"/>
        </w:rPr>
        <w:t xml:space="preserve">, </w:t>
      </w:r>
      <w:r>
        <w:t>Yin</w:t>
      </w:r>
      <w:r w:rsidRPr="004D4BE7">
        <w:rPr>
          <w:lang w:val="ru-RU"/>
        </w:rPr>
        <w:t xml:space="preserve">, </w:t>
      </w:r>
      <w:r>
        <w:t>Wang</w:t>
      </w:r>
      <w:r w:rsidRPr="004D4BE7">
        <w:rPr>
          <w:lang w:val="ru-RU"/>
        </w:rPr>
        <w:t xml:space="preserve">, </w:t>
      </w:r>
      <w:r>
        <w:t>King</w:t>
      </w:r>
      <w:r w:rsidRPr="004D4BE7">
        <w:rPr>
          <w:lang w:val="ru-RU"/>
        </w:rPr>
        <w:t xml:space="preserve">, &amp; </w:t>
      </w:r>
      <w:r>
        <w:t>Rost</w:t>
      </w:r>
      <w:r w:rsidRPr="004D4BE7">
        <w:rPr>
          <w:lang w:val="ru-RU"/>
        </w:rPr>
        <w:t xml:space="preserve">, 2024; </w:t>
      </w:r>
      <w:proofErr w:type="spellStart"/>
      <w:r>
        <w:t>Werling</w:t>
      </w:r>
      <w:proofErr w:type="spellEnd"/>
      <w:r w:rsidRPr="004D4BE7">
        <w:rPr>
          <w:lang w:val="ru-RU"/>
        </w:rPr>
        <w:t xml:space="preserve">, </w:t>
      </w:r>
      <w:proofErr w:type="spellStart"/>
      <w:r>
        <w:t>Kuzhippallil</w:t>
      </w:r>
      <w:proofErr w:type="spellEnd"/>
      <w:r w:rsidRPr="004D4BE7">
        <w:rPr>
          <w:lang w:val="ru-RU"/>
        </w:rPr>
        <w:t xml:space="preserve">, </w:t>
      </w:r>
      <w:r>
        <w:t>Emery</w:t>
      </w:r>
      <w:r w:rsidRPr="004D4BE7">
        <w:rPr>
          <w:lang w:val="ru-RU"/>
        </w:rPr>
        <w:t xml:space="preserve">, </w:t>
      </w:r>
      <w:proofErr w:type="spellStart"/>
      <w:r>
        <w:t>Walitza</w:t>
      </w:r>
      <w:proofErr w:type="spellEnd"/>
      <w:r w:rsidRPr="004D4BE7">
        <w:rPr>
          <w:lang w:val="ru-RU"/>
        </w:rPr>
        <w:t xml:space="preserve">, &amp; </w:t>
      </w:r>
      <w:r>
        <w:t>Drechsler</w:t>
      </w:r>
      <w:r w:rsidRPr="004D4BE7">
        <w:rPr>
          <w:lang w:val="ru-RU"/>
        </w:rPr>
        <w:t xml:space="preserve">, 2022). В различных исследованиях сообщалось, что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с </w:t>
      </w:r>
      <w:r>
        <w:t>ADHD</w:t>
      </w:r>
      <w:r w:rsidRPr="004D4BE7">
        <w:rPr>
          <w:lang w:val="ru-RU"/>
        </w:rPr>
        <w:t xml:space="preserve"> встречается у </w:t>
      </w:r>
      <w:r w:rsidRPr="004D4BE7">
        <w:rPr>
          <w:lang w:val="ru-RU"/>
        </w:rPr>
        <w:lastRenderedPageBreak/>
        <w:t xml:space="preserve">39–50.7% лиц с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Cabelguen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Yen</w:t>
      </w:r>
      <w:r w:rsidRPr="004D4BE7">
        <w:rPr>
          <w:lang w:val="ru-RU"/>
        </w:rPr>
        <w:t xml:space="preserve">, </w:t>
      </w:r>
      <w:r>
        <w:t>Liu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2017). Согласно недавнему метаанализу, в исследованиях, где сравнивались лица с диагнозом </w:t>
      </w:r>
      <w:r>
        <w:t>GD</w:t>
      </w:r>
      <w:r w:rsidRPr="004D4BE7">
        <w:rPr>
          <w:lang w:val="ru-RU"/>
        </w:rPr>
        <w:t xml:space="preserve"> и без него, была выявлена большая положительная разница по выраженности симптомов </w:t>
      </w:r>
      <w:r>
        <w:t>ADHD</w:t>
      </w:r>
      <w:r w:rsidRPr="004D4BE7">
        <w:rPr>
          <w:lang w:val="ru-RU"/>
        </w:rPr>
        <w:t xml:space="preserve"> (</w:t>
      </w:r>
      <w:r>
        <w:t>g</w:t>
      </w:r>
      <w:r w:rsidRPr="004D4BE7">
        <w:rPr>
          <w:lang w:val="ru-RU"/>
        </w:rPr>
        <w:t xml:space="preserve"> = 0.854; </w:t>
      </w:r>
      <w:r>
        <w:t>p</w:t>
      </w:r>
      <w:r w:rsidRPr="004D4BE7">
        <w:rPr>
          <w:lang w:val="ru-RU"/>
        </w:rPr>
        <w:t xml:space="preserve"> </w:t>
      </w:r>
      <w:proofErr w:type="gramStart"/>
      <w:r w:rsidRPr="004D4BE7">
        <w:rPr>
          <w:lang w:val="ru-RU"/>
        </w:rPr>
        <w:t>&lt; 0.001</w:t>
      </w:r>
      <w:proofErr w:type="gramEnd"/>
      <w:r w:rsidRPr="004D4BE7">
        <w:rPr>
          <w:lang w:val="ru-RU"/>
        </w:rPr>
        <w:t>) (</w:t>
      </w:r>
      <w:proofErr w:type="spellStart"/>
      <w:r>
        <w:t>Koncz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2023). Кроме того, в логистической регрессии настоящего исследования </w:t>
      </w:r>
      <w:r>
        <w:t>ADHD</w:t>
      </w:r>
      <w:r w:rsidRPr="004D4BE7">
        <w:rPr>
          <w:lang w:val="ru-RU"/>
        </w:rPr>
        <w:t xml:space="preserve"> у взрослых оказался психиатрической </w:t>
      </w:r>
      <w:proofErr w:type="spellStart"/>
      <w:r w:rsidRPr="004D4BE7">
        <w:rPr>
          <w:lang w:val="ru-RU"/>
        </w:rPr>
        <w:t>коморбидностью</w:t>
      </w:r>
      <w:proofErr w:type="spellEnd"/>
      <w:r w:rsidRPr="004D4BE7">
        <w:rPr>
          <w:lang w:val="ru-RU"/>
        </w:rPr>
        <w:t xml:space="preserve">, наиболее тесно связанной с </w:t>
      </w:r>
      <w:r>
        <w:t>GD</w:t>
      </w:r>
      <w:r w:rsidRPr="004D4BE7">
        <w:rPr>
          <w:lang w:val="ru-RU"/>
        </w:rPr>
        <w:t xml:space="preserve">, что ранее было показано и для </w:t>
      </w:r>
      <w:r>
        <w:t>IGD</w:t>
      </w:r>
      <w:r w:rsidRPr="004D4BE7">
        <w:rPr>
          <w:lang w:val="ru-RU"/>
        </w:rPr>
        <w:t xml:space="preserve"> (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2021). Это позволяет предположить, что </w:t>
      </w:r>
      <w:r>
        <w:t>ADHD</w:t>
      </w:r>
      <w:r w:rsidRPr="004D4BE7">
        <w:rPr>
          <w:lang w:val="ru-RU"/>
        </w:rPr>
        <w:t xml:space="preserve"> часто встречается и у лиц с </w:t>
      </w:r>
      <w:r>
        <w:t>GD</w:t>
      </w:r>
      <w:r w:rsidRPr="004D4BE7">
        <w:rPr>
          <w:lang w:val="ru-RU"/>
        </w:rPr>
        <w:t xml:space="preserve"> по критериям </w:t>
      </w:r>
      <w:r>
        <w:t>ICD</w:t>
      </w:r>
      <w:r w:rsidRPr="004D4BE7">
        <w:rPr>
          <w:lang w:val="ru-RU"/>
        </w:rPr>
        <w:t xml:space="preserve">-11, которые акцентируют неконтролируемую игру и высокий приоритет игры и задают более высокий порог интенсивности, чем критерии </w:t>
      </w:r>
      <w:r>
        <w:t>IGD</w:t>
      </w:r>
      <w:r w:rsidRPr="004D4BE7">
        <w:rPr>
          <w:lang w:val="ru-RU"/>
        </w:rPr>
        <w:t xml:space="preserve"> в </w:t>
      </w:r>
      <w:r>
        <w:t>DSM</w:t>
      </w:r>
      <w:r w:rsidRPr="004D4BE7">
        <w:rPr>
          <w:lang w:val="ru-RU"/>
        </w:rPr>
        <w:t>-5 (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2023).</w:t>
      </w:r>
    </w:p>
    <w:p w14:paraId="0AE920A0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Настоящее исследование также показало, что группа </w:t>
      </w:r>
      <w:r>
        <w:t>GD</w:t>
      </w:r>
      <w:r w:rsidRPr="004D4BE7">
        <w:rPr>
          <w:lang w:val="ru-RU"/>
        </w:rPr>
        <w:t xml:space="preserve"> характеризовалась более высокими уровнями импульсивности и персеверации по сравнению с контролем. Согласно определению в опроснике импульсивности Дикмана, </w:t>
      </w:r>
      <w:proofErr w:type="spellStart"/>
      <w:r w:rsidRPr="004D4BE7">
        <w:rPr>
          <w:lang w:val="ru-RU"/>
        </w:rPr>
        <w:t>дисфункциональная</w:t>
      </w:r>
      <w:proofErr w:type="spellEnd"/>
      <w:r w:rsidRPr="004D4BE7">
        <w:rPr>
          <w:lang w:val="ru-RU"/>
        </w:rPr>
        <w:t xml:space="preserve"> импульсивность приводит к быстрому и неточному выполнению задач, то есть к быстрому, но более ошибочному стилю переработки информации, а не к обдуманному мышлению (</w:t>
      </w:r>
      <w:r>
        <w:t>Dickman</w:t>
      </w:r>
      <w:r w:rsidRPr="004D4BE7">
        <w:rPr>
          <w:lang w:val="ru-RU"/>
        </w:rPr>
        <w:t>, 1990). Персеверация отражает нарушение угасания ранее вознаграждавшейся реакции (</w:t>
      </w:r>
      <w:r>
        <w:t>Ribes</w:t>
      </w:r>
      <w:r w:rsidRPr="004D4BE7">
        <w:rPr>
          <w:lang w:val="ru-RU"/>
        </w:rPr>
        <w:t>-</w:t>
      </w:r>
      <w:r>
        <w:t>Guardiola</w:t>
      </w:r>
      <w:r w:rsidRPr="004D4BE7">
        <w:rPr>
          <w:lang w:val="ru-RU"/>
        </w:rPr>
        <w:t xml:space="preserve">, </w:t>
      </w:r>
      <w:r>
        <w:t>Poy</w:t>
      </w:r>
      <w:r w:rsidRPr="004D4BE7">
        <w:rPr>
          <w:lang w:val="ru-RU"/>
        </w:rPr>
        <w:t xml:space="preserve">, </w:t>
      </w:r>
      <w:r>
        <w:t>Segarra</w:t>
      </w:r>
      <w:r w:rsidRPr="004D4BE7">
        <w:rPr>
          <w:lang w:val="ru-RU"/>
        </w:rPr>
        <w:t xml:space="preserve">, </w:t>
      </w:r>
      <w:proofErr w:type="spellStart"/>
      <w:r>
        <w:t>Branchadell</w:t>
      </w:r>
      <w:proofErr w:type="spellEnd"/>
      <w:r w:rsidRPr="004D4BE7">
        <w:rPr>
          <w:lang w:val="ru-RU"/>
        </w:rPr>
        <w:t xml:space="preserve">, &amp; </w:t>
      </w:r>
      <w:r>
        <w:t>Molt</w:t>
      </w:r>
      <w:r w:rsidRPr="004D4BE7">
        <w:rPr>
          <w:lang w:val="ru-RU"/>
        </w:rPr>
        <w:t xml:space="preserve">ó, 2020). Недостаток обдумывания и трудности прекращения закрепленной вознаграждением реакции могут приводить к тому, что лица с </w:t>
      </w:r>
      <w:r>
        <w:t>GD</w:t>
      </w:r>
      <w:r w:rsidRPr="004D4BE7">
        <w:rPr>
          <w:lang w:val="ru-RU"/>
        </w:rPr>
        <w:t xml:space="preserve"> не могут контролировать свое игровое поведение, а это, в свою очередь, вызывает негативные последствия. Данный результат согласуется с предыдущими исследованиями, в которых импульсивность и низкая добросовестность рассматривались как факторы риска, связанные с </w:t>
      </w:r>
      <w:r>
        <w:t>GD</w:t>
      </w:r>
      <w:r w:rsidRPr="004D4BE7">
        <w:rPr>
          <w:lang w:val="ru-RU"/>
        </w:rPr>
        <w:t xml:space="preserve"> (</w:t>
      </w:r>
      <w:r>
        <w:t>Gentile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2011; </w:t>
      </w:r>
      <w:r>
        <w:t>Muller</w:t>
      </w:r>
      <w:r w:rsidRPr="004D4BE7">
        <w:rPr>
          <w:lang w:val="ru-RU"/>
        </w:rPr>
        <w:t xml:space="preserve">, </w:t>
      </w:r>
      <w:r>
        <w:t>Dreier</w:t>
      </w:r>
      <w:r w:rsidRPr="004D4BE7">
        <w:rPr>
          <w:lang w:val="ru-RU"/>
        </w:rPr>
        <w:t xml:space="preserve">, &amp; </w:t>
      </w:r>
      <w:r>
        <w:t>Wolfling</w:t>
      </w:r>
      <w:r w:rsidRPr="004D4BE7">
        <w:rPr>
          <w:lang w:val="ru-RU"/>
        </w:rPr>
        <w:t>, 2023).</w:t>
      </w:r>
    </w:p>
    <w:p w14:paraId="2C95510D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 предыдущих обзорах была продемонстрирована устойчивая положительная связь между импульсивностью и </w:t>
      </w:r>
      <w:r>
        <w:t>GD</w:t>
      </w:r>
      <w:r w:rsidRPr="004D4BE7">
        <w:rPr>
          <w:lang w:val="ru-RU"/>
        </w:rPr>
        <w:t xml:space="preserve"> (Ş</w:t>
      </w:r>
      <w:proofErr w:type="spellStart"/>
      <w:r>
        <w:t>alvarl</w:t>
      </w:r>
      <w:proofErr w:type="spellEnd"/>
      <w:r w:rsidRPr="004D4BE7">
        <w:rPr>
          <w:lang w:val="ru-RU"/>
        </w:rPr>
        <w:t xml:space="preserve">ı &amp; </w:t>
      </w:r>
      <w:r>
        <w:t>Griffiths</w:t>
      </w:r>
      <w:r w:rsidRPr="004D4BE7">
        <w:rPr>
          <w:lang w:val="ru-RU"/>
        </w:rPr>
        <w:t xml:space="preserve">, 2022), которая, возможно, обусловлена изменениями нейробиологической структуры у лиц с высокой импульсивностью; на это указывали исследования, рассматривавшие импульсивность как потенциальный </w:t>
      </w:r>
      <w:proofErr w:type="spellStart"/>
      <w:r w:rsidRPr="004D4BE7">
        <w:rPr>
          <w:lang w:val="ru-RU"/>
        </w:rPr>
        <w:t>биомаркер</w:t>
      </w:r>
      <w:proofErr w:type="spellEnd"/>
      <w:r w:rsidRPr="004D4BE7">
        <w:rPr>
          <w:lang w:val="ru-RU"/>
        </w:rPr>
        <w:t xml:space="preserve"> (</w:t>
      </w:r>
      <w:r>
        <w:t>Zhang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2023). Также было показано, что импульсивность опосредует связь между полиморфизмом </w:t>
      </w:r>
      <w:r>
        <w:t>catechol</w:t>
      </w:r>
      <w:r w:rsidRPr="004D4BE7">
        <w:rPr>
          <w:lang w:val="ru-RU"/>
        </w:rPr>
        <w:t>-</w:t>
      </w:r>
      <w:r>
        <w:t>O</w:t>
      </w:r>
      <w:r w:rsidRPr="004D4BE7">
        <w:rPr>
          <w:lang w:val="ru-RU"/>
        </w:rPr>
        <w:t>-</w:t>
      </w:r>
      <w:r>
        <w:t>methyltransferase</w:t>
      </w:r>
      <w:r w:rsidRPr="004D4BE7">
        <w:rPr>
          <w:lang w:val="ru-RU"/>
        </w:rPr>
        <w:t xml:space="preserve"> и </w:t>
      </w:r>
      <w:r>
        <w:t>GD</w:t>
      </w:r>
      <w:r w:rsidRPr="004D4BE7">
        <w:rPr>
          <w:lang w:val="ru-RU"/>
        </w:rPr>
        <w:t xml:space="preserve"> (</w:t>
      </w:r>
      <w:r>
        <w:t>Yen</w:t>
      </w:r>
      <w:r w:rsidRPr="004D4BE7">
        <w:rPr>
          <w:lang w:val="ru-RU"/>
        </w:rPr>
        <w:t xml:space="preserve">, </w:t>
      </w:r>
      <w:r>
        <w:t>Lin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2022). Возможная роль импульсивности как фактора уязвимости при </w:t>
      </w:r>
      <w:r>
        <w:t>GD</w:t>
      </w:r>
      <w:r w:rsidRPr="004D4BE7">
        <w:rPr>
          <w:lang w:val="ru-RU"/>
        </w:rPr>
        <w:t xml:space="preserve"> может объяснять более высокую импульсивность в группе </w:t>
      </w:r>
      <w:r>
        <w:t>GD</w:t>
      </w:r>
      <w:r w:rsidRPr="004D4BE7">
        <w:rPr>
          <w:lang w:val="ru-RU"/>
        </w:rPr>
        <w:t xml:space="preserve"> в настоящем исследовании.</w:t>
      </w:r>
    </w:p>
    <w:p w14:paraId="775318AA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Импульсивность является ключевым симптомом в диагностических критериях </w:t>
      </w:r>
      <w:r>
        <w:t>ADHD</w:t>
      </w:r>
      <w:r w:rsidRPr="004D4BE7">
        <w:rPr>
          <w:lang w:val="ru-RU"/>
        </w:rPr>
        <w:t xml:space="preserve"> (</w:t>
      </w:r>
      <w:r>
        <w:t>APA</w:t>
      </w:r>
      <w:r w:rsidRPr="004D4BE7">
        <w:rPr>
          <w:lang w:val="ru-RU"/>
        </w:rPr>
        <w:t xml:space="preserve">, 2013). Кроме того, повышенная персеверация относится к нейропсихологическим характеристикам </w:t>
      </w:r>
      <w:r>
        <w:t>ADHD</w:t>
      </w:r>
      <w:r w:rsidRPr="004D4BE7">
        <w:rPr>
          <w:lang w:val="ru-RU"/>
        </w:rPr>
        <w:t xml:space="preserve"> (</w:t>
      </w:r>
      <w:proofErr w:type="spellStart"/>
      <w:r>
        <w:t>Rizzutti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2015). Предыдущие исследования показывали, что у лиц с </w:t>
      </w:r>
      <w:r>
        <w:t>GD</w:t>
      </w:r>
      <w:r w:rsidRPr="004D4BE7">
        <w:rPr>
          <w:lang w:val="ru-RU"/>
        </w:rPr>
        <w:t xml:space="preserve"> и </w:t>
      </w:r>
      <w:r>
        <w:t>ADHD</w:t>
      </w:r>
      <w:r w:rsidRPr="004D4BE7">
        <w:rPr>
          <w:lang w:val="ru-RU"/>
        </w:rPr>
        <w:t xml:space="preserve"> импульсивность выше, а самоконтроль ниже, чем у контролей (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2021). Также в ряде работ сообщалось, что импульсивность играет существенную роль в связи между </w:t>
      </w:r>
      <w:r>
        <w:t>ADHD</w:t>
      </w:r>
      <w:r w:rsidRPr="004D4BE7">
        <w:rPr>
          <w:lang w:val="ru-RU"/>
        </w:rPr>
        <w:t xml:space="preserve"> и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Cabelguen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Yen</w:t>
      </w:r>
      <w:r w:rsidRPr="004D4BE7">
        <w:rPr>
          <w:lang w:val="ru-RU"/>
        </w:rPr>
        <w:t xml:space="preserve">, </w:t>
      </w:r>
      <w:r>
        <w:t>Liu</w:t>
      </w:r>
      <w:r w:rsidRPr="004D4BE7">
        <w:rPr>
          <w:lang w:val="ru-RU"/>
        </w:rPr>
        <w:t xml:space="preserve">,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2017). Высокая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с </w:t>
      </w:r>
      <w:r>
        <w:t>ADHD</w:t>
      </w:r>
      <w:r w:rsidRPr="004D4BE7">
        <w:rPr>
          <w:lang w:val="ru-RU"/>
        </w:rPr>
        <w:t xml:space="preserve"> может также способствовать более высоким уровням импульсивности и персеверации при </w:t>
      </w:r>
      <w:r>
        <w:t>GD</w:t>
      </w:r>
      <w:r w:rsidRPr="004D4BE7">
        <w:rPr>
          <w:lang w:val="ru-RU"/>
        </w:rPr>
        <w:t>, выявленным в настоящем исследовании.</w:t>
      </w:r>
    </w:p>
    <w:p w14:paraId="49E633C2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 настоящем исследовании у 53.3% участников группы </w:t>
      </w:r>
      <w:r>
        <w:t>GD</w:t>
      </w:r>
      <w:r w:rsidRPr="004D4BE7">
        <w:rPr>
          <w:lang w:val="ru-RU"/>
        </w:rPr>
        <w:t xml:space="preserve"> (</w:t>
      </w:r>
      <w:r>
        <w:t>n</w:t>
      </w:r>
      <w:r w:rsidRPr="004D4BE7">
        <w:rPr>
          <w:lang w:val="ru-RU"/>
        </w:rPr>
        <w:t xml:space="preserve"> = 32) был диагностирован </w:t>
      </w:r>
      <w:r>
        <w:t>ADHD</w:t>
      </w:r>
      <w:r w:rsidRPr="004D4BE7">
        <w:rPr>
          <w:lang w:val="ru-RU"/>
        </w:rPr>
        <w:t xml:space="preserve"> у взрослых. </w:t>
      </w:r>
      <w:proofErr w:type="spellStart"/>
      <w:r w:rsidRPr="004D4BE7">
        <w:rPr>
          <w:lang w:val="ru-RU"/>
        </w:rPr>
        <w:t>Коморбидный</w:t>
      </w:r>
      <w:proofErr w:type="spellEnd"/>
      <w:r w:rsidRPr="004D4BE7">
        <w:rPr>
          <w:lang w:val="ru-RU"/>
        </w:rPr>
        <w:t xml:space="preserve"> </w:t>
      </w:r>
      <w:r>
        <w:t>ADHD</w:t>
      </w:r>
      <w:r w:rsidRPr="004D4BE7">
        <w:rPr>
          <w:lang w:val="ru-RU"/>
        </w:rPr>
        <w:t xml:space="preserve"> может влиять на клиническое течение или ответ на лечение у лиц с </w:t>
      </w:r>
      <w:r>
        <w:t>GD</w:t>
      </w:r>
      <w:r w:rsidRPr="004D4BE7">
        <w:rPr>
          <w:lang w:val="ru-RU"/>
        </w:rPr>
        <w:t xml:space="preserve">. </w:t>
      </w:r>
      <w:r>
        <w:t>Mart</w:t>
      </w:r>
      <w:r w:rsidRPr="004D4BE7">
        <w:rPr>
          <w:lang w:val="ru-RU"/>
        </w:rPr>
        <w:t>í</w:t>
      </w:r>
      <w:r>
        <w:t>n</w:t>
      </w:r>
      <w:r w:rsidRPr="004D4BE7">
        <w:rPr>
          <w:lang w:val="ru-RU"/>
        </w:rPr>
        <w:t>-</w:t>
      </w:r>
      <w:r>
        <w:t>Fern</w:t>
      </w:r>
      <w:r w:rsidRPr="004D4BE7">
        <w:rPr>
          <w:lang w:val="ru-RU"/>
        </w:rPr>
        <w:t>á</w:t>
      </w:r>
      <w:proofErr w:type="spellStart"/>
      <w:r>
        <w:t>ndez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 (2016) показали благоприятный ответ на лечение через три и шесть месяцев у подростков с </w:t>
      </w:r>
      <w:r>
        <w:t>IGD</w:t>
      </w:r>
      <w:r w:rsidRPr="004D4BE7">
        <w:rPr>
          <w:lang w:val="ru-RU"/>
        </w:rPr>
        <w:t xml:space="preserve"> и </w:t>
      </w:r>
      <w:proofErr w:type="spellStart"/>
      <w:r w:rsidRPr="004D4BE7">
        <w:rPr>
          <w:lang w:val="ru-RU"/>
        </w:rPr>
        <w:t>экстернализирующими</w:t>
      </w:r>
      <w:proofErr w:type="spellEnd"/>
      <w:r w:rsidRPr="004D4BE7">
        <w:rPr>
          <w:lang w:val="ru-RU"/>
        </w:rPr>
        <w:t xml:space="preserve"> профилями, включая </w:t>
      </w:r>
      <w:r>
        <w:t>ADHD</w:t>
      </w:r>
      <w:r w:rsidRPr="004D4BE7">
        <w:rPr>
          <w:lang w:val="ru-RU"/>
        </w:rPr>
        <w:t xml:space="preserve">. Однако </w:t>
      </w:r>
      <w:r>
        <w:t>Lee</w:t>
      </w:r>
      <w:r w:rsidRPr="004D4BE7">
        <w:rPr>
          <w:lang w:val="ru-RU"/>
        </w:rPr>
        <w:t xml:space="preserve">, </w:t>
      </w:r>
      <w:r>
        <w:t>Bae</w:t>
      </w:r>
      <w:r w:rsidRPr="004D4BE7">
        <w:rPr>
          <w:lang w:val="ru-RU"/>
        </w:rPr>
        <w:t xml:space="preserve">, </w:t>
      </w:r>
      <w:r>
        <w:t>Kim</w:t>
      </w:r>
      <w:r w:rsidRPr="004D4BE7">
        <w:rPr>
          <w:lang w:val="ru-RU"/>
        </w:rPr>
        <w:t xml:space="preserve">, </w:t>
      </w:r>
      <w:r>
        <w:t>and</w:t>
      </w:r>
      <w:r w:rsidRPr="004D4BE7">
        <w:rPr>
          <w:lang w:val="ru-RU"/>
        </w:rPr>
        <w:t xml:space="preserve"> </w:t>
      </w:r>
      <w:r>
        <w:t>Han</w:t>
      </w:r>
      <w:r w:rsidRPr="004D4BE7">
        <w:rPr>
          <w:lang w:val="ru-RU"/>
        </w:rPr>
        <w:t xml:space="preserve"> (2021) сообщили, что </w:t>
      </w:r>
      <w:proofErr w:type="spellStart"/>
      <w:r w:rsidRPr="004D4BE7">
        <w:rPr>
          <w:lang w:val="ru-RU"/>
        </w:rPr>
        <w:t>коморбидный</w:t>
      </w:r>
      <w:proofErr w:type="spellEnd"/>
      <w:r w:rsidRPr="004D4BE7">
        <w:rPr>
          <w:lang w:val="ru-RU"/>
        </w:rPr>
        <w:t xml:space="preserve"> </w:t>
      </w:r>
      <w:r>
        <w:t>ADHD</w:t>
      </w:r>
      <w:r w:rsidRPr="004D4BE7">
        <w:rPr>
          <w:lang w:val="ru-RU"/>
        </w:rPr>
        <w:t xml:space="preserve"> был связан с неблагоприятными исходами лечения у лиц в возрасте 11–42 лет после восьминедельного лечения и трехлетнего наблюдения. Предыдущие интервенционные исследования позволяют предположить, что лечение </w:t>
      </w:r>
      <w:r w:rsidRPr="004D4BE7">
        <w:rPr>
          <w:lang w:val="ru-RU"/>
        </w:rPr>
        <w:lastRenderedPageBreak/>
        <w:t xml:space="preserve">лежащих в основе симптомов </w:t>
      </w:r>
      <w:r>
        <w:t>ADHD</w:t>
      </w:r>
      <w:r w:rsidRPr="004D4BE7">
        <w:rPr>
          <w:lang w:val="ru-RU"/>
        </w:rPr>
        <w:t xml:space="preserve"> существенно уменьшает симптомы </w:t>
      </w:r>
      <w:r>
        <w:t>GD</w:t>
      </w:r>
      <w:r w:rsidRPr="004D4BE7">
        <w:rPr>
          <w:lang w:val="ru-RU"/>
        </w:rPr>
        <w:t xml:space="preserve"> (</w:t>
      </w:r>
      <w:r>
        <w:t>Chang</w:t>
      </w:r>
      <w:r w:rsidRPr="004D4BE7">
        <w:rPr>
          <w:lang w:val="ru-RU"/>
        </w:rPr>
        <w:t xml:space="preserve">, </w:t>
      </w:r>
      <w:r>
        <w:t>Chang</w:t>
      </w:r>
      <w:r w:rsidRPr="004D4BE7">
        <w:rPr>
          <w:lang w:val="ru-RU"/>
        </w:rPr>
        <w:t xml:space="preserve">, </w:t>
      </w:r>
      <w:r>
        <w:t>Cheng</w:t>
      </w:r>
      <w:r w:rsidRPr="004D4BE7">
        <w:rPr>
          <w:lang w:val="ru-RU"/>
        </w:rPr>
        <w:t xml:space="preserve">, &amp; </w:t>
      </w:r>
      <w:proofErr w:type="spellStart"/>
      <w:r>
        <w:t>Tzang</w:t>
      </w:r>
      <w:proofErr w:type="spellEnd"/>
      <w:r w:rsidRPr="004D4BE7">
        <w:rPr>
          <w:lang w:val="ru-RU"/>
        </w:rPr>
        <w:t xml:space="preserve">, 2020). Следовательно, у лиц с </w:t>
      </w:r>
      <w:r>
        <w:t>GD</w:t>
      </w:r>
      <w:r w:rsidRPr="004D4BE7">
        <w:rPr>
          <w:lang w:val="ru-RU"/>
        </w:rPr>
        <w:t xml:space="preserve"> необходимо оценивать </w:t>
      </w:r>
      <w:r>
        <w:t>ADHD</w:t>
      </w:r>
      <w:r w:rsidRPr="004D4BE7">
        <w:rPr>
          <w:lang w:val="ru-RU"/>
        </w:rPr>
        <w:t xml:space="preserve"> и </w:t>
      </w:r>
      <w:proofErr w:type="gramStart"/>
      <w:r w:rsidRPr="004D4BE7">
        <w:rPr>
          <w:lang w:val="ru-RU"/>
        </w:rPr>
        <w:t>импульсивность</w:t>
      </w:r>
      <w:proofErr w:type="gramEnd"/>
      <w:r w:rsidRPr="004D4BE7">
        <w:rPr>
          <w:lang w:val="ru-RU"/>
        </w:rPr>
        <w:t xml:space="preserve"> и при необходимости проводить их эффективную коррекцию.</w:t>
      </w:r>
    </w:p>
    <w:p w14:paraId="1F5C7903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>Депрессия и регуляция эмоций у лиц с игровым расстройством</w:t>
      </w:r>
    </w:p>
    <w:p w14:paraId="399B3245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Предыдущие исследования сообщали о связи между депрессивным расстройством и </w:t>
      </w:r>
      <w:r>
        <w:t>GD</w:t>
      </w:r>
      <w:r w:rsidRPr="004D4BE7">
        <w:rPr>
          <w:lang w:val="ru-RU"/>
        </w:rPr>
        <w:t xml:space="preserve"> как в работах с диагностическим интервью (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2021), так и в опросных исследованиях (</w:t>
      </w:r>
      <w:proofErr w:type="spellStart"/>
      <w:r>
        <w:t>Ropovik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2023; </w:t>
      </w:r>
      <w:r>
        <w:t>Teng</w:t>
      </w:r>
      <w:r w:rsidRPr="004D4BE7">
        <w:rPr>
          <w:lang w:val="ru-RU"/>
        </w:rPr>
        <w:t xml:space="preserve">, </w:t>
      </w:r>
      <w:r>
        <w:t>Pontes</w:t>
      </w:r>
      <w:r w:rsidRPr="004D4BE7">
        <w:rPr>
          <w:lang w:val="ru-RU"/>
        </w:rPr>
        <w:t xml:space="preserve">, </w:t>
      </w:r>
      <w:proofErr w:type="spellStart"/>
      <w:r>
        <w:t>Nie</w:t>
      </w:r>
      <w:proofErr w:type="spellEnd"/>
      <w:r w:rsidRPr="004D4BE7">
        <w:rPr>
          <w:lang w:val="ru-RU"/>
        </w:rPr>
        <w:t xml:space="preserve">, </w:t>
      </w:r>
      <w:r>
        <w:t>Griffiths</w:t>
      </w:r>
      <w:r w:rsidRPr="004D4BE7">
        <w:rPr>
          <w:lang w:val="ru-RU"/>
        </w:rPr>
        <w:t xml:space="preserve">, &amp; </w:t>
      </w:r>
      <w:r>
        <w:t>Guo</w:t>
      </w:r>
      <w:r w:rsidRPr="004D4BE7">
        <w:rPr>
          <w:lang w:val="ru-RU"/>
        </w:rPr>
        <w:t xml:space="preserve">, 2021). В настоящем исследовании логистическая регрессия показала, что лица с депрессивным расстройством в 8.04 раза чаще (95% ДИ = 2.61–24.76) имели диагноз </w:t>
      </w:r>
      <w:r>
        <w:t>GD</w:t>
      </w:r>
      <w:r w:rsidRPr="004D4BE7">
        <w:rPr>
          <w:lang w:val="ru-RU"/>
        </w:rPr>
        <w:t xml:space="preserve">, чем лица без депрессивного расстройства. Это позволяет предположить, что лица с депрессивным расстройством более склонны к развитию </w:t>
      </w:r>
      <w:r>
        <w:t>GD</w:t>
      </w:r>
      <w:r w:rsidRPr="004D4BE7">
        <w:rPr>
          <w:lang w:val="ru-RU"/>
        </w:rPr>
        <w:t xml:space="preserve">. Кроме того, более высокие показатели когнитивной переоценки были связаны с меньшей вероятностью диагноза </w:t>
      </w:r>
      <w:r>
        <w:t>GD</w:t>
      </w:r>
      <w:r w:rsidRPr="004D4BE7">
        <w:rPr>
          <w:lang w:val="ru-RU"/>
        </w:rPr>
        <w:t xml:space="preserve"> по сравнению с контролем (</w:t>
      </w:r>
      <w:r>
        <w:t>OR</w:t>
      </w:r>
      <w:r w:rsidRPr="004D4BE7">
        <w:rPr>
          <w:lang w:val="ru-RU"/>
        </w:rPr>
        <w:t xml:space="preserve"> = 0.87; 95% ДИ = 0.80–0.94). В предыдущих работах сообщалось о более низком уровне регуляции эмоций у лиц с </w:t>
      </w:r>
      <w:r>
        <w:t>GD</w:t>
      </w:r>
      <w:r w:rsidRPr="004D4BE7">
        <w:rPr>
          <w:lang w:val="ru-RU"/>
        </w:rPr>
        <w:t xml:space="preserve"> (</w:t>
      </w:r>
      <w:r>
        <w:t>K</w:t>
      </w:r>
      <w:r w:rsidRPr="004D4BE7">
        <w:rPr>
          <w:lang w:val="ru-RU"/>
        </w:rPr>
        <w:t>ö</w:t>
      </w:r>
      <w:r>
        <w:t>k</w:t>
      </w:r>
      <w:r w:rsidRPr="004D4BE7">
        <w:rPr>
          <w:lang w:val="ru-RU"/>
        </w:rPr>
        <w:t>ö</w:t>
      </w:r>
      <w:proofErr w:type="spellStart"/>
      <w:r>
        <w:t>nyei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2019; </w:t>
      </w:r>
      <w:r>
        <w:t>Lin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2020; 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2017). Недавнее исследование показало, что мотивация погружения/ухода от реальности опосредует связь между депрессивной симптоматикой и симптомами игрового расстройства (</w:t>
      </w:r>
      <w:r>
        <w:t>Kir</w:t>
      </w:r>
      <w:r w:rsidRPr="004D4BE7">
        <w:rPr>
          <w:lang w:val="ru-RU"/>
        </w:rPr>
        <w:t>á</w:t>
      </w:r>
      <w:proofErr w:type="spellStart"/>
      <w:r>
        <w:t>ly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2022). Следовательно, лица, испытывающие депрессивные симптомы, могут иметь более выраженную мотивацию играть, чтобы избегать повседневных проблем и трудностей. Более низкая когнитивная переоценка и </w:t>
      </w:r>
      <w:proofErr w:type="spellStart"/>
      <w:r w:rsidRPr="004D4BE7">
        <w:rPr>
          <w:lang w:val="ru-RU"/>
        </w:rPr>
        <w:t>дисфункциональный</w:t>
      </w:r>
      <w:proofErr w:type="spellEnd"/>
      <w:r w:rsidRPr="004D4BE7">
        <w:rPr>
          <w:lang w:val="ru-RU"/>
        </w:rPr>
        <w:t xml:space="preserve"> </w:t>
      </w:r>
      <w:proofErr w:type="spellStart"/>
      <w:r w:rsidRPr="004D4BE7">
        <w:rPr>
          <w:lang w:val="ru-RU"/>
        </w:rPr>
        <w:t>копинг</w:t>
      </w:r>
      <w:proofErr w:type="spellEnd"/>
      <w:r w:rsidRPr="004D4BE7">
        <w:rPr>
          <w:lang w:val="ru-RU"/>
        </w:rPr>
        <w:t xml:space="preserve"> (</w:t>
      </w:r>
      <w:r>
        <w:t>Lin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2021), связанные с </w:t>
      </w:r>
      <w:r>
        <w:t>GD</w:t>
      </w:r>
      <w:r w:rsidRPr="004D4BE7">
        <w:rPr>
          <w:lang w:val="ru-RU"/>
        </w:rPr>
        <w:t xml:space="preserve">, могут затруднять самостоятельное улучшение настроения у игроков. Без эффективного вмешательства, направленного на уменьшение депрессии и развитие </w:t>
      </w:r>
      <w:proofErr w:type="spellStart"/>
      <w:r w:rsidRPr="004D4BE7">
        <w:rPr>
          <w:lang w:val="ru-RU"/>
        </w:rPr>
        <w:t>копинг</w:t>
      </w:r>
      <w:proofErr w:type="spellEnd"/>
      <w:r w:rsidRPr="004D4BE7">
        <w:rPr>
          <w:lang w:val="ru-RU"/>
        </w:rPr>
        <w:t>-навыков, игра как форма избегания может приводить к негативным последствиям, формируя порочный круг.</w:t>
      </w:r>
    </w:p>
    <w:p w14:paraId="11E4542A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 xml:space="preserve">Генерализованное тревожное расстройство, социальное тревожное расстройство и </w:t>
      </w:r>
      <w:proofErr w:type="spellStart"/>
      <w:r w:rsidRPr="004D4BE7">
        <w:rPr>
          <w:b/>
          <w:color w:val="373737"/>
          <w:sz w:val="26"/>
          <w:lang w:val="ru-RU"/>
        </w:rPr>
        <w:t>аверсивная</w:t>
      </w:r>
      <w:proofErr w:type="spellEnd"/>
      <w:r w:rsidRPr="004D4BE7">
        <w:rPr>
          <w:b/>
          <w:color w:val="373737"/>
          <w:sz w:val="26"/>
          <w:lang w:val="ru-RU"/>
        </w:rPr>
        <w:t xml:space="preserve"> чувствительность у лиц с игровым расстройством</w:t>
      </w:r>
    </w:p>
    <w:p w14:paraId="7F7D9397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 попарных межгрупповых сравнениях с </w:t>
      </w:r>
      <w:r>
        <w:t>GD</w:t>
      </w:r>
      <w:r w:rsidRPr="004D4BE7">
        <w:rPr>
          <w:lang w:val="ru-RU"/>
        </w:rPr>
        <w:t xml:space="preserve"> были связаны как </w:t>
      </w:r>
      <w:r>
        <w:t>GAD</w:t>
      </w:r>
      <w:r w:rsidRPr="004D4BE7">
        <w:rPr>
          <w:lang w:val="ru-RU"/>
        </w:rPr>
        <w:t xml:space="preserve">, так и </w:t>
      </w:r>
      <w:r>
        <w:t>SAD</w:t>
      </w:r>
      <w:r w:rsidRPr="004D4BE7">
        <w:rPr>
          <w:lang w:val="ru-RU"/>
        </w:rPr>
        <w:t xml:space="preserve">. Однако после контроля других психических расстройств с </w:t>
      </w:r>
      <w:r>
        <w:t>GD</w:t>
      </w:r>
      <w:r w:rsidRPr="004D4BE7">
        <w:rPr>
          <w:lang w:val="ru-RU"/>
        </w:rPr>
        <w:t xml:space="preserve"> сохраняло связь только </w:t>
      </w:r>
      <w:r>
        <w:t>GAD</w:t>
      </w:r>
      <w:r w:rsidRPr="004D4BE7">
        <w:rPr>
          <w:lang w:val="ru-RU"/>
        </w:rPr>
        <w:t xml:space="preserve">, но не </w:t>
      </w:r>
      <w:r>
        <w:t>SAD</w:t>
      </w:r>
      <w:r w:rsidRPr="004D4BE7">
        <w:rPr>
          <w:lang w:val="ru-RU"/>
        </w:rPr>
        <w:t xml:space="preserve">. Лица с </w:t>
      </w:r>
      <w:r>
        <w:t>GAD</w:t>
      </w:r>
      <w:r w:rsidRPr="004D4BE7">
        <w:rPr>
          <w:lang w:val="ru-RU"/>
        </w:rPr>
        <w:t xml:space="preserve"> имели в 5.16 раза более высокую вероятность наличия </w:t>
      </w:r>
      <w:r>
        <w:t>GD</w:t>
      </w:r>
      <w:r w:rsidRPr="004D4BE7">
        <w:rPr>
          <w:lang w:val="ru-RU"/>
        </w:rPr>
        <w:t xml:space="preserve">, чем лица без </w:t>
      </w:r>
      <w:r>
        <w:t>GAD</w:t>
      </w:r>
      <w:r w:rsidRPr="004D4BE7">
        <w:rPr>
          <w:lang w:val="ru-RU"/>
        </w:rPr>
        <w:t>, что согласуется с данными предыдущих исследований (</w:t>
      </w:r>
      <w:r>
        <w:t>Ko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2021; </w:t>
      </w:r>
      <w:r>
        <w:t>Wang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2017). Кроме того, </w:t>
      </w:r>
      <w:proofErr w:type="spellStart"/>
      <w:r w:rsidRPr="004D4BE7">
        <w:rPr>
          <w:lang w:val="ru-RU"/>
        </w:rPr>
        <w:t>аверсивная</w:t>
      </w:r>
      <w:proofErr w:type="spellEnd"/>
      <w:r w:rsidRPr="004D4BE7">
        <w:rPr>
          <w:lang w:val="ru-RU"/>
        </w:rPr>
        <w:t xml:space="preserve"> чувствительность — отражающая гиперчувствительность к наказанию и отсутствию вознаграждения (</w:t>
      </w:r>
      <w:r>
        <w:t>Carver</w:t>
      </w:r>
      <w:r w:rsidRPr="004D4BE7">
        <w:rPr>
          <w:lang w:val="ru-RU"/>
        </w:rPr>
        <w:t xml:space="preserve"> &amp; </w:t>
      </w:r>
      <w:r>
        <w:t>White</w:t>
      </w:r>
      <w:r w:rsidRPr="004D4BE7">
        <w:rPr>
          <w:lang w:val="ru-RU"/>
        </w:rPr>
        <w:t xml:space="preserve">, 1994) — также была связана с </w:t>
      </w:r>
      <w:r>
        <w:t>GD</w:t>
      </w:r>
      <w:r w:rsidRPr="004D4BE7">
        <w:rPr>
          <w:lang w:val="ru-RU"/>
        </w:rPr>
        <w:t>, что соответствует результатам предыдущей работы (</w:t>
      </w:r>
      <w:r>
        <w:t>Xiang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2020). Ранее было показано, что у лиц с </w:t>
      </w:r>
      <w:r>
        <w:t>GAD</w:t>
      </w:r>
      <w:r w:rsidRPr="004D4BE7">
        <w:rPr>
          <w:lang w:val="ru-RU"/>
        </w:rPr>
        <w:t xml:space="preserve"> </w:t>
      </w:r>
      <w:proofErr w:type="spellStart"/>
      <w:r w:rsidRPr="004D4BE7">
        <w:rPr>
          <w:lang w:val="ru-RU"/>
        </w:rPr>
        <w:t>аверсивная</w:t>
      </w:r>
      <w:proofErr w:type="spellEnd"/>
      <w:r w:rsidRPr="004D4BE7">
        <w:rPr>
          <w:lang w:val="ru-RU"/>
        </w:rPr>
        <w:t xml:space="preserve"> чувствительность выше (</w:t>
      </w:r>
      <w:r>
        <w:t>Akdeniz</w:t>
      </w:r>
      <w:r w:rsidRPr="004D4BE7">
        <w:rPr>
          <w:lang w:val="ru-RU"/>
        </w:rPr>
        <w:t xml:space="preserve"> </w:t>
      </w:r>
      <w:proofErr w:type="spellStart"/>
      <w:r>
        <w:t>Gorgulu</w:t>
      </w:r>
      <w:proofErr w:type="spellEnd"/>
      <w:r w:rsidRPr="004D4BE7">
        <w:rPr>
          <w:lang w:val="ru-RU"/>
        </w:rPr>
        <w:t xml:space="preserve">, </w:t>
      </w:r>
      <w:proofErr w:type="spellStart"/>
      <w:r>
        <w:t>Baykan</w:t>
      </w:r>
      <w:proofErr w:type="spellEnd"/>
      <w:r w:rsidRPr="004D4BE7">
        <w:rPr>
          <w:lang w:val="ru-RU"/>
        </w:rPr>
        <w:t xml:space="preserve">, &amp; </w:t>
      </w:r>
      <w:proofErr w:type="spellStart"/>
      <w:r>
        <w:t>Karlidere</w:t>
      </w:r>
      <w:proofErr w:type="spellEnd"/>
      <w:r w:rsidRPr="004D4BE7">
        <w:rPr>
          <w:lang w:val="ru-RU"/>
        </w:rPr>
        <w:t xml:space="preserve">, 2023) и что именно она может искажать связь между </w:t>
      </w:r>
      <w:r>
        <w:t>GAD</w:t>
      </w:r>
      <w:r w:rsidRPr="004D4BE7">
        <w:rPr>
          <w:lang w:val="ru-RU"/>
        </w:rPr>
        <w:t xml:space="preserve"> и </w:t>
      </w:r>
      <w:r>
        <w:t>GD</w:t>
      </w:r>
      <w:r w:rsidRPr="004D4BE7">
        <w:rPr>
          <w:lang w:val="ru-RU"/>
        </w:rPr>
        <w:t xml:space="preserve"> (</w:t>
      </w:r>
      <w:r>
        <w:t>Wang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2017). Лица с </w:t>
      </w:r>
      <w:r>
        <w:t>GAD</w:t>
      </w:r>
      <w:r w:rsidRPr="004D4BE7">
        <w:rPr>
          <w:lang w:val="ru-RU"/>
        </w:rPr>
        <w:t xml:space="preserve"> могут испытывать хроническую и длительную тревогу в повседневной жизни. Они могут обращаться к играм, чтобы отвлечься от своих переживаний и общаться с другими в виртуальной среде, что потенциально уменьшает их социальную тревогу (</w:t>
      </w:r>
      <w:r>
        <w:t>Hutchins</w:t>
      </w:r>
      <w:r w:rsidRPr="004D4BE7">
        <w:rPr>
          <w:lang w:val="ru-RU"/>
        </w:rPr>
        <w:t xml:space="preserve">, </w:t>
      </w:r>
      <w:r>
        <w:t>Allen</w:t>
      </w:r>
      <w:r w:rsidRPr="004D4BE7">
        <w:rPr>
          <w:lang w:val="ru-RU"/>
        </w:rPr>
        <w:t xml:space="preserve">, </w:t>
      </w:r>
      <w:r>
        <w:t>Curran</w:t>
      </w:r>
      <w:r w:rsidRPr="004D4BE7">
        <w:rPr>
          <w:lang w:val="ru-RU"/>
        </w:rPr>
        <w:t xml:space="preserve">, &amp; </w:t>
      </w:r>
      <w:proofErr w:type="spellStart"/>
      <w:r>
        <w:t>Kannis</w:t>
      </w:r>
      <w:proofErr w:type="spellEnd"/>
      <w:r w:rsidRPr="004D4BE7">
        <w:rPr>
          <w:lang w:val="ru-RU"/>
        </w:rPr>
        <w:t>-</w:t>
      </w:r>
      <w:proofErr w:type="spellStart"/>
      <w:r>
        <w:t>Dymand</w:t>
      </w:r>
      <w:proofErr w:type="spellEnd"/>
      <w:r w:rsidRPr="004D4BE7">
        <w:rPr>
          <w:lang w:val="ru-RU"/>
        </w:rPr>
        <w:t xml:space="preserve">, 2021). Чувствительность к </w:t>
      </w:r>
      <w:proofErr w:type="spellStart"/>
      <w:r w:rsidRPr="004D4BE7">
        <w:rPr>
          <w:lang w:val="ru-RU"/>
        </w:rPr>
        <w:t>аверсивным</w:t>
      </w:r>
      <w:proofErr w:type="spellEnd"/>
      <w:r w:rsidRPr="004D4BE7">
        <w:rPr>
          <w:lang w:val="ru-RU"/>
        </w:rPr>
        <w:t xml:space="preserve"> стимулам и отсутствию вознаграждения может подкреплять игровое поведение как способ ухода от стресса и тревоги повседневной жизни. Однако игра как форма избегания может повышать риск </w:t>
      </w:r>
      <w:r>
        <w:t>GD</w:t>
      </w:r>
      <w:r w:rsidRPr="004D4BE7">
        <w:rPr>
          <w:lang w:val="ru-RU"/>
        </w:rPr>
        <w:t xml:space="preserve"> (</w:t>
      </w:r>
      <w:r>
        <w:t>B</w:t>
      </w:r>
      <w:r w:rsidRPr="004D4BE7">
        <w:rPr>
          <w:lang w:val="ru-RU"/>
        </w:rPr>
        <w:t>ä</w:t>
      </w:r>
      <w:proofErr w:type="spellStart"/>
      <w:r>
        <w:t>cklund</w:t>
      </w:r>
      <w:proofErr w:type="spellEnd"/>
      <w:r w:rsidRPr="004D4BE7">
        <w:rPr>
          <w:lang w:val="ru-RU"/>
        </w:rPr>
        <w:t xml:space="preserve">, </w:t>
      </w:r>
      <w:r>
        <w:t>Elbe</w:t>
      </w:r>
      <w:r w:rsidRPr="004D4BE7">
        <w:rPr>
          <w:lang w:val="ru-RU"/>
        </w:rPr>
        <w:t xml:space="preserve">, </w:t>
      </w:r>
      <w:proofErr w:type="spellStart"/>
      <w:r>
        <w:t>Gavelin</w:t>
      </w:r>
      <w:proofErr w:type="spellEnd"/>
      <w:r w:rsidRPr="004D4BE7">
        <w:rPr>
          <w:lang w:val="ru-RU"/>
        </w:rPr>
        <w:t xml:space="preserve">, </w:t>
      </w:r>
      <w:r>
        <w:t>S</w:t>
      </w:r>
      <w:r w:rsidRPr="004D4BE7">
        <w:rPr>
          <w:lang w:val="ru-RU"/>
        </w:rPr>
        <w:t>ö</w:t>
      </w:r>
      <w:proofErr w:type="spellStart"/>
      <w:r>
        <w:t>rman</w:t>
      </w:r>
      <w:proofErr w:type="spellEnd"/>
      <w:r w:rsidRPr="004D4BE7">
        <w:rPr>
          <w:lang w:val="ru-RU"/>
        </w:rPr>
        <w:t xml:space="preserve">, &amp; </w:t>
      </w:r>
      <w:r>
        <w:t>Ljungberg</w:t>
      </w:r>
      <w:r w:rsidRPr="004D4BE7">
        <w:rPr>
          <w:lang w:val="ru-RU"/>
        </w:rPr>
        <w:t xml:space="preserve">, 2022; </w:t>
      </w:r>
      <w:proofErr w:type="spellStart"/>
      <w:r>
        <w:t>Melodia</w:t>
      </w:r>
      <w:proofErr w:type="spellEnd"/>
      <w:r w:rsidRPr="004D4BE7">
        <w:rPr>
          <w:lang w:val="ru-RU"/>
        </w:rPr>
        <w:t xml:space="preserve">, </w:t>
      </w:r>
      <w:r>
        <w:t>Canale</w:t>
      </w:r>
      <w:r w:rsidRPr="004D4BE7">
        <w:rPr>
          <w:lang w:val="ru-RU"/>
        </w:rPr>
        <w:t xml:space="preserve">, &amp; </w:t>
      </w:r>
      <w:r>
        <w:t>Griffiths</w:t>
      </w:r>
      <w:r w:rsidRPr="004D4BE7">
        <w:rPr>
          <w:lang w:val="ru-RU"/>
        </w:rPr>
        <w:t xml:space="preserve">, 2022; </w:t>
      </w:r>
      <w:proofErr w:type="spellStart"/>
      <w:r>
        <w:t>Ropovik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2023).</w:t>
      </w:r>
    </w:p>
    <w:p w14:paraId="0F93FAE0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lastRenderedPageBreak/>
        <w:t xml:space="preserve">Лица с </w:t>
      </w:r>
      <w:r>
        <w:t>GD</w:t>
      </w:r>
      <w:r w:rsidRPr="004D4BE7">
        <w:rPr>
          <w:lang w:val="ru-RU"/>
        </w:rPr>
        <w:t xml:space="preserve"> могут сталкиваться с негативными последствиями (</w:t>
      </w:r>
      <w:r>
        <w:t>Ko</w:t>
      </w:r>
      <w:r w:rsidRPr="004D4BE7">
        <w:rPr>
          <w:lang w:val="ru-RU"/>
        </w:rPr>
        <w:t xml:space="preserve">, </w:t>
      </w:r>
      <w:r>
        <w:t>Lin</w:t>
      </w:r>
      <w:r w:rsidRPr="004D4BE7">
        <w:rPr>
          <w:lang w:val="ru-RU"/>
        </w:rPr>
        <w:t xml:space="preserve">, </w:t>
      </w:r>
      <w:r>
        <w:t>Lin</w:t>
      </w:r>
      <w:r w:rsidRPr="004D4BE7">
        <w:rPr>
          <w:lang w:val="ru-RU"/>
        </w:rPr>
        <w:t xml:space="preserve">, &amp; </w:t>
      </w:r>
      <w:r>
        <w:t>Yen</w:t>
      </w:r>
      <w:r w:rsidRPr="004D4BE7">
        <w:rPr>
          <w:lang w:val="ru-RU"/>
        </w:rPr>
        <w:t>, 2020), которые усиливают стресс и побуждают их ограничивать игру. Однако при попытках контролировать игру без достаточных ресурсов они могут испытывать симптомы, связанные с отменой, такие как раздражительность, влечение к игре и/или ангедония (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2022). Чувствительность к этим </w:t>
      </w:r>
      <w:proofErr w:type="spellStart"/>
      <w:r w:rsidRPr="004D4BE7">
        <w:rPr>
          <w:lang w:val="ru-RU"/>
        </w:rPr>
        <w:t>аверсивным</w:t>
      </w:r>
      <w:proofErr w:type="spellEnd"/>
      <w:r w:rsidRPr="004D4BE7">
        <w:rPr>
          <w:lang w:val="ru-RU"/>
        </w:rPr>
        <w:t xml:space="preserve"> переживаниям может мешать им контролировать игровое поведение. Высокая </w:t>
      </w:r>
      <w:proofErr w:type="spellStart"/>
      <w:r w:rsidRPr="004D4BE7">
        <w:rPr>
          <w:lang w:val="ru-RU"/>
        </w:rPr>
        <w:t>аверсивная</w:t>
      </w:r>
      <w:proofErr w:type="spellEnd"/>
      <w:r w:rsidRPr="004D4BE7">
        <w:rPr>
          <w:lang w:val="ru-RU"/>
        </w:rPr>
        <w:t xml:space="preserve"> чувствительность также может препятствовать пробованию альтернативных видов активности. Описанное взаимодействие </w:t>
      </w:r>
      <w:r>
        <w:t>GAD</w:t>
      </w:r>
      <w:r w:rsidRPr="004D4BE7">
        <w:rPr>
          <w:lang w:val="ru-RU"/>
        </w:rPr>
        <w:t xml:space="preserve"> и </w:t>
      </w:r>
      <w:proofErr w:type="spellStart"/>
      <w:r w:rsidRPr="004D4BE7">
        <w:rPr>
          <w:lang w:val="ru-RU"/>
        </w:rPr>
        <w:t>аверсивной</w:t>
      </w:r>
      <w:proofErr w:type="spellEnd"/>
      <w:r w:rsidRPr="004D4BE7">
        <w:rPr>
          <w:lang w:val="ru-RU"/>
        </w:rPr>
        <w:t xml:space="preserve"> чувствительности </w:t>
      </w:r>
      <w:proofErr w:type="gramStart"/>
      <w:r w:rsidRPr="004D4BE7">
        <w:rPr>
          <w:lang w:val="ru-RU"/>
        </w:rPr>
        <w:t>в течении</w:t>
      </w:r>
      <w:proofErr w:type="gramEnd"/>
      <w:r w:rsidRPr="004D4BE7">
        <w:rPr>
          <w:lang w:val="ru-RU"/>
        </w:rPr>
        <w:t xml:space="preserve"> </w:t>
      </w:r>
      <w:r>
        <w:t>GD</w:t>
      </w:r>
      <w:r w:rsidRPr="004D4BE7">
        <w:rPr>
          <w:lang w:val="ru-RU"/>
        </w:rPr>
        <w:t xml:space="preserve"> требует дополнительных проспективных исследований, особенно у лиц с сочетанием </w:t>
      </w:r>
      <w:r>
        <w:t>GD</w:t>
      </w:r>
      <w:r w:rsidRPr="004D4BE7">
        <w:rPr>
          <w:lang w:val="ru-RU"/>
        </w:rPr>
        <w:t xml:space="preserve"> и </w:t>
      </w:r>
      <w:r>
        <w:t>GAD</w:t>
      </w:r>
      <w:r w:rsidRPr="004D4BE7">
        <w:rPr>
          <w:lang w:val="ru-RU"/>
        </w:rPr>
        <w:t xml:space="preserve">. Кроме того, у лиц с </w:t>
      </w:r>
      <w:r>
        <w:t>GD</w:t>
      </w:r>
      <w:r w:rsidRPr="004D4BE7">
        <w:rPr>
          <w:lang w:val="ru-RU"/>
        </w:rPr>
        <w:t xml:space="preserve"> следует оценивать </w:t>
      </w:r>
      <w:r>
        <w:t>GAD</w:t>
      </w:r>
      <w:r w:rsidRPr="004D4BE7">
        <w:rPr>
          <w:lang w:val="ru-RU"/>
        </w:rPr>
        <w:t xml:space="preserve"> и </w:t>
      </w:r>
      <w:proofErr w:type="spellStart"/>
      <w:r w:rsidRPr="004D4BE7">
        <w:rPr>
          <w:lang w:val="ru-RU"/>
        </w:rPr>
        <w:t>аверсивную</w:t>
      </w:r>
      <w:proofErr w:type="spellEnd"/>
      <w:r w:rsidRPr="004D4BE7">
        <w:rPr>
          <w:lang w:val="ru-RU"/>
        </w:rPr>
        <w:t xml:space="preserve"> чувствительность, чтобы обеспечить эффективное вмешательство.</w:t>
      </w:r>
    </w:p>
    <w:p w14:paraId="3B0C0FF5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 xml:space="preserve">Психиатрическая </w:t>
      </w:r>
      <w:proofErr w:type="spellStart"/>
      <w:r w:rsidRPr="004D4BE7">
        <w:rPr>
          <w:b/>
          <w:color w:val="373737"/>
          <w:sz w:val="26"/>
          <w:lang w:val="ru-RU"/>
        </w:rPr>
        <w:t>коморбидность</w:t>
      </w:r>
      <w:proofErr w:type="spellEnd"/>
      <w:r w:rsidRPr="004D4BE7">
        <w:rPr>
          <w:b/>
          <w:color w:val="373737"/>
          <w:sz w:val="26"/>
          <w:lang w:val="ru-RU"/>
        </w:rPr>
        <w:t xml:space="preserve"> и факторы риска опасного гейминга</w:t>
      </w:r>
    </w:p>
    <w:p w14:paraId="58CD06C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Настоящее исследование первым показало, что </w:t>
      </w:r>
      <w:r>
        <w:t>ADHD</w:t>
      </w:r>
      <w:r w:rsidRPr="004D4BE7">
        <w:rPr>
          <w:lang w:val="ru-RU"/>
        </w:rPr>
        <w:t xml:space="preserve"> у взрослых является психиатрической </w:t>
      </w:r>
      <w:proofErr w:type="spellStart"/>
      <w:r w:rsidRPr="004D4BE7">
        <w:rPr>
          <w:lang w:val="ru-RU"/>
        </w:rPr>
        <w:t>коморбидностью</w:t>
      </w:r>
      <w:proofErr w:type="spellEnd"/>
      <w:r w:rsidRPr="004D4BE7">
        <w:rPr>
          <w:lang w:val="ru-RU"/>
        </w:rPr>
        <w:t xml:space="preserve">, наиболее тесно связанной с </w:t>
      </w:r>
      <w:r>
        <w:t>HG</w:t>
      </w:r>
      <w:r w:rsidRPr="004D4BE7">
        <w:rPr>
          <w:lang w:val="ru-RU"/>
        </w:rPr>
        <w:t xml:space="preserve"> — потенциально ранней стадией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Kewitz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2023). Поэтому вмешательства, направленные на </w:t>
      </w:r>
      <w:r>
        <w:t>ADHD</w:t>
      </w:r>
      <w:r w:rsidRPr="004D4BE7">
        <w:rPr>
          <w:lang w:val="ru-RU"/>
        </w:rPr>
        <w:t xml:space="preserve">, могут быть полезны не только лицам с </w:t>
      </w:r>
      <w:r>
        <w:t>GD</w:t>
      </w:r>
      <w:r w:rsidRPr="004D4BE7">
        <w:rPr>
          <w:lang w:val="ru-RU"/>
        </w:rPr>
        <w:t xml:space="preserve"> (</w:t>
      </w:r>
      <w:r>
        <w:t>Han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2009), но и лицам с </w:t>
      </w:r>
      <w:r>
        <w:t>HG</w:t>
      </w:r>
      <w:r w:rsidRPr="004D4BE7">
        <w:rPr>
          <w:lang w:val="ru-RU"/>
        </w:rPr>
        <w:t xml:space="preserve">, уже испытывающим определенный вред вследствие игровой активности. Настоящее исследование также показало, что лица с </w:t>
      </w:r>
      <w:r>
        <w:t>HG</w:t>
      </w:r>
      <w:r w:rsidRPr="004D4BE7">
        <w:rPr>
          <w:lang w:val="ru-RU"/>
        </w:rPr>
        <w:t xml:space="preserve"> характеризуются более выраженным поиском удовольствий по сравнению с контролем. Предыдущие исследования сообщали о связи поиска удовольствий с </w:t>
      </w:r>
      <w:r>
        <w:t>GD</w:t>
      </w:r>
      <w:r w:rsidRPr="004D4BE7">
        <w:rPr>
          <w:lang w:val="ru-RU"/>
        </w:rPr>
        <w:t xml:space="preserve"> на основании генетических и </w:t>
      </w:r>
      <w:proofErr w:type="spellStart"/>
      <w:r w:rsidRPr="004D4BE7">
        <w:rPr>
          <w:lang w:val="ru-RU"/>
        </w:rPr>
        <w:t>нейровизуализационных</w:t>
      </w:r>
      <w:proofErr w:type="spellEnd"/>
      <w:r w:rsidRPr="004D4BE7">
        <w:rPr>
          <w:lang w:val="ru-RU"/>
        </w:rPr>
        <w:t xml:space="preserve"> данных (</w:t>
      </w:r>
      <w:r>
        <w:t>Dong</w:t>
      </w:r>
      <w:r w:rsidRPr="004D4BE7">
        <w:rPr>
          <w:lang w:val="ru-RU"/>
        </w:rPr>
        <w:t xml:space="preserve">, </w:t>
      </w:r>
      <w:r>
        <w:t>Zheng</w:t>
      </w:r>
      <w:r w:rsidRPr="004D4BE7">
        <w:rPr>
          <w:lang w:val="ru-RU"/>
        </w:rPr>
        <w:t xml:space="preserve">, </w:t>
      </w:r>
      <w:r>
        <w:t>Wang</w:t>
      </w:r>
      <w:r w:rsidRPr="004D4BE7">
        <w:rPr>
          <w:lang w:val="ru-RU"/>
        </w:rPr>
        <w:t xml:space="preserve">, </w:t>
      </w:r>
      <w:r>
        <w:t>Ye</w:t>
      </w:r>
      <w:r w:rsidRPr="004D4BE7">
        <w:rPr>
          <w:lang w:val="ru-RU"/>
        </w:rPr>
        <w:t xml:space="preserve">, &amp; </w:t>
      </w:r>
      <w:r>
        <w:t>Dong</w:t>
      </w:r>
      <w:r w:rsidRPr="004D4BE7">
        <w:rPr>
          <w:lang w:val="ru-RU"/>
        </w:rPr>
        <w:t xml:space="preserve">, 2022; </w:t>
      </w:r>
      <w:r>
        <w:t>Yen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>., 2022</w:t>
      </w:r>
      <w:r>
        <w:t>b</w:t>
      </w:r>
      <w:r w:rsidRPr="004D4BE7">
        <w:rPr>
          <w:lang w:val="ru-RU"/>
        </w:rPr>
        <w:t>). Поиск удовольствий отражает стремление к новому вознаграждению и готовность приближаться к потенциально вознаграждающему событию (</w:t>
      </w:r>
      <w:r>
        <w:t>Carver</w:t>
      </w:r>
      <w:r w:rsidRPr="004D4BE7">
        <w:rPr>
          <w:lang w:val="ru-RU"/>
        </w:rPr>
        <w:t xml:space="preserve"> &amp; </w:t>
      </w:r>
      <w:r>
        <w:t>White</w:t>
      </w:r>
      <w:r w:rsidRPr="004D4BE7">
        <w:rPr>
          <w:lang w:val="ru-RU"/>
        </w:rPr>
        <w:t xml:space="preserve">, 1994). Следовательно, лица с высоким уровнем поиска удовольствий могут испытывать более сильное желание играть, а вознаграждающий дизайн игр может это желание подкреплять. Более сильное желание без достаточного контроля может быть связано с рисками для здоровья, например со снижением продолжительности или качества сна. Кроме того, в регрессионном анализе показатель </w:t>
      </w:r>
      <w:r>
        <w:t>BAS</w:t>
      </w:r>
      <w:r w:rsidRPr="004D4BE7">
        <w:rPr>
          <w:lang w:val="ru-RU"/>
        </w:rPr>
        <w:t>-</w:t>
      </w:r>
      <w:r>
        <w:t>Drive</w:t>
      </w:r>
      <w:r w:rsidRPr="004D4BE7">
        <w:rPr>
          <w:lang w:val="ru-RU"/>
        </w:rPr>
        <w:t xml:space="preserve"> / стремления к цели был отрицательно связан с </w:t>
      </w:r>
      <w:r>
        <w:t>HG</w:t>
      </w:r>
      <w:r w:rsidRPr="004D4BE7">
        <w:rPr>
          <w:lang w:val="ru-RU"/>
        </w:rPr>
        <w:t>. Под стремлением к цели понимается настойчивое движение к желаемой цели (</w:t>
      </w:r>
      <w:r>
        <w:t>Carver</w:t>
      </w:r>
      <w:r w:rsidRPr="004D4BE7">
        <w:rPr>
          <w:lang w:val="ru-RU"/>
        </w:rPr>
        <w:t xml:space="preserve"> &amp; </w:t>
      </w:r>
      <w:r>
        <w:t>White</w:t>
      </w:r>
      <w:r w:rsidRPr="004D4BE7">
        <w:rPr>
          <w:lang w:val="ru-RU"/>
        </w:rPr>
        <w:t xml:space="preserve">, 1994), например: «Я делаю все возможное, чтобы получить желаемое». Хотя лица с более высоким уровнем этого показателя могут быть сильнее мотивированы играть, они также могут быть мотивированы и своими повседневными целями. Мотивация к действию ради достижения желаемых целей может способствовать более благополучному функционированию в повседневной жизни. Следовательно, для профилактики </w:t>
      </w:r>
      <w:r>
        <w:t>HG</w:t>
      </w:r>
      <w:r w:rsidRPr="004D4BE7">
        <w:rPr>
          <w:lang w:val="ru-RU"/>
        </w:rPr>
        <w:t xml:space="preserve">, особенно у лиц с </w:t>
      </w:r>
      <w:r>
        <w:t>ADHD</w:t>
      </w:r>
      <w:r w:rsidRPr="004D4BE7">
        <w:rPr>
          <w:lang w:val="ru-RU"/>
        </w:rPr>
        <w:t>, важно стимулировать включение в альтернативные досуговые виды активности, которые удовлетворяют чувствительность к вознаграждению в сфере поиска удовольствий, либо помогать переопределять жизненные цели так, чтобы усиливать их стремление действовать ради этих целей.</w:t>
      </w:r>
    </w:p>
    <w:p w14:paraId="4C896219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 xml:space="preserve">Различия в психиатрической </w:t>
      </w:r>
      <w:proofErr w:type="spellStart"/>
      <w:r w:rsidRPr="004D4BE7">
        <w:rPr>
          <w:b/>
          <w:color w:val="373737"/>
          <w:sz w:val="26"/>
          <w:lang w:val="ru-RU"/>
        </w:rPr>
        <w:t>коморбидности</w:t>
      </w:r>
      <w:proofErr w:type="spellEnd"/>
      <w:r w:rsidRPr="004D4BE7">
        <w:rPr>
          <w:b/>
          <w:color w:val="373737"/>
          <w:sz w:val="26"/>
          <w:lang w:val="ru-RU"/>
        </w:rPr>
        <w:t xml:space="preserve"> между группами </w:t>
      </w:r>
      <w:r>
        <w:rPr>
          <w:b/>
          <w:color w:val="373737"/>
          <w:sz w:val="26"/>
        </w:rPr>
        <w:t>GD</w:t>
      </w:r>
      <w:r w:rsidRPr="004D4BE7">
        <w:rPr>
          <w:b/>
          <w:color w:val="373737"/>
          <w:sz w:val="26"/>
          <w:lang w:val="ru-RU"/>
        </w:rPr>
        <w:t xml:space="preserve"> и </w:t>
      </w:r>
      <w:r>
        <w:rPr>
          <w:b/>
          <w:color w:val="373737"/>
          <w:sz w:val="26"/>
        </w:rPr>
        <w:t>HG</w:t>
      </w:r>
    </w:p>
    <w:p w14:paraId="4D852B34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Критерии </w:t>
      </w:r>
      <w:r>
        <w:t>ICD</w:t>
      </w:r>
      <w:r w:rsidRPr="004D4BE7">
        <w:rPr>
          <w:lang w:val="ru-RU"/>
        </w:rPr>
        <w:t xml:space="preserve">-11 для </w:t>
      </w:r>
      <w:r>
        <w:t>GD</w:t>
      </w:r>
      <w:r w:rsidRPr="004D4BE7">
        <w:rPr>
          <w:lang w:val="ru-RU"/>
        </w:rPr>
        <w:t xml:space="preserve"> и </w:t>
      </w:r>
      <w:r>
        <w:t>HG</w:t>
      </w:r>
      <w:r w:rsidRPr="004D4BE7">
        <w:rPr>
          <w:lang w:val="ru-RU"/>
        </w:rPr>
        <w:t xml:space="preserve"> позволяют сравнивать более ранние и более поздние стадии игровой аддикции. По сравнению с группой </w:t>
      </w:r>
      <w:r>
        <w:t>HG</w:t>
      </w:r>
      <w:r w:rsidRPr="004D4BE7">
        <w:rPr>
          <w:lang w:val="ru-RU"/>
        </w:rPr>
        <w:t xml:space="preserve"> с группой </w:t>
      </w:r>
      <w:r>
        <w:t>GD</w:t>
      </w:r>
      <w:r w:rsidRPr="004D4BE7">
        <w:rPr>
          <w:lang w:val="ru-RU"/>
        </w:rPr>
        <w:t xml:space="preserve"> были связаны как </w:t>
      </w:r>
      <w:r>
        <w:t>ADHD</w:t>
      </w:r>
      <w:r w:rsidRPr="004D4BE7">
        <w:rPr>
          <w:lang w:val="ru-RU"/>
        </w:rPr>
        <w:t xml:space="preserve">, так и депрессивное расстройство. Однако при одновременном включении всех психиатрических </w:t>
      </w:r>
      <w:proofErr w:type="spellStart"/>
      <w:r w:rsidRPr="004D4BE7">
        <w:rPr>
          <w:lang w:val="ru-RU"/>
        </w:rPr>
        <w:t>коморбидностей</w:t>
      </w:r>
      <w:proofErr w:type="spellEnd"/>
      <w:r w:rsidRPr="004D4BE7">
        <w:rPr>
          <w:lang w:val="ru-RU"/>
        </w:rPr>
        <w:t xml:space="preserve"> в модель единственным значимым фактором, связанным с </w:t>
      </w:r>
      <w:r>
        <w:t>GD</w:t>
      </w:r>
      <w:r w:rsidRPr="004D4BE7">
        <w:rPr>
          <w:lang w:val="ru-RU"/>
        </w:rPr>
        <w:t xml:space="preserve">, оставалось депрессивное расстройство. Это показывает, что у пациентов </w:t>
      </w:r>
      <w:r w:rsidRPr="004D4BE7">
        <w:rPr>
          <w:lang w:val="ru-RU"/>
        </w:rPr>
        <w:lastRenderedPageBreak/>
        <w:t xml:space="preserve">с </w:t>
      </w:r>
      <w:r>
        <w:t>GD</w:t>
      </w:r>
      <w:r w:rsidRPr="004D4BE7">
        <w:rPr>
          <w:lang w:val="ru-RU"/>
        </w:rPr>
        <w:t xml:space="preserve"> уровень депрессии статистически значимо выше, чем у пациентов с </w:t>
      </w:r>
      <w:r>
        <w:t>HG</w:t>
      </w:r>
      <w:r w:rsidRPr="004D4BE7">
        <w:rPr>
          <w:lang w:val="ru-RU"/>
        </w:rPr>
        <w:t xml:space="preserve">. Следовательно, депрессия является ключевым — или, по меньшей мере, важным — фактором, который необходимо учитывать при диагностическом разграничении </w:t>
      </w:r>
      <w:r>
        <w:t>GD</w:t>
      </w:r>
      <w:r w:rsidRPr="004D4BE7">
        <w:rPr>
          <w:lang w:val="ru-RU"/>
        </w:rPr>
        <w:t xml:space="preserve"> и </w:t>
      </w:r>
      <w:r>
        <w:t>HG</w:t>
      </w:r>
      <w:r w:rsidRPr="004D4BE7">
        <w:rPr>
          <w:lang w:val="ru-RU"/>
        </w:rPr>
        <w:t xml:space="preserve">. В проспективном исследовании </w:t>
      </w:r>
      <w:r>
        <w:t>Gentile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 (2011) предположили, что </w:t>
      </w:r>
      <w:r>
        <w:t>GD</w:t>
      </w:r>
      <w:r w:rsidRPr="004D4BE7">
        <w:rPr>
          <w:lang w:val="ru-RU"/>
        </w:rPr>
        <w:t xml:space="preserve"> способствует развитию депрессии. Лица с </w:t>
      </w:r>
      <w:r>
        <w:t>GD</w:t>
      </w:r>
      <w:r w:rsidRPr="004D4BE7">
        <w:rPr>
          <w:lang w:val="ru-RU"/>
        </w:rPr>
        <w:t xml:space="preserve"> испытывают функциональные нарушения, вызванные игрой, но при этом по-прежнему не могут контролировать свое поведение. Такой фрустрирующий опыт может дополнительно усиливать депрессивную симптоматику и объяснять более высокий уровень депрессии у пациентов с </w:t>
      </w:r>
      <w:r>
        <w:t>GD</w:t>
      </w:r>
      <w:r w:rsidRPr="004D4BE7">
        <w:rPr>
          <w:lang w:val="ru-RU"/>
        </w:rPr>
        <w:t xml:space="preserve"> по сравнению с пациентами с </w:t>
      </w:r>
      <w:r>
        <w:t>HG</w:t>
      </w:r>
      <w:r w:rsidRPr="004D4BE7">
        <w:rPr>
          <w:lang w:val="ru-RU"/>
        </w:rPr>
        <w:t>.</w:t>
      </w:r>
    </w:p>
    <w:p w14:paraId="08D746BB" w14:textId="77777777" w:rsidR="003A0B7E" w:rsidRPr="004D4BE7" w:rsidRDefault="00000000">
      <w:pPr>
        <w:spacing w:before="180" w:after="80"/>
        <w:rPr>
          <w:lang w:val="ru-RU"/>
        </w:rPr>
      </w:pPr>
      <w:r w:rsidRPr="004D4BE7">
        <w:rPr>
          <w:b/>
          <w:color w:val="373737"/>
          <w:sz w:val="26"/>
          <w:lang w:val="ru-RU"/>
        </w:rPr>
        <w:t>Клинические импликации</w:t>
      </w:r>
    </w:p>
    <w:p w14:paraId="45C1296F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В предыдущих обзорах высказывалось предположение, что когнитивный контроль, регуляция эмоций и чувствительность к вознаграждению вносят вклад в </w:t>
      </w:r>
      <w:r>
        <w:t>GD</w:t>
      </w:r>
      <w:r w:rsidRPr="004D4BE7">
        <w:rPr>
          <w:lang w:val="ru-RU"/>
        </w:rPr>
        <w:t xml:space="preserve"> в рамках нейробиологической или когнитивно-поведенческой модели (</w:t>
      </w:r>
      <w:r>
        <w:t>Dong</w:t>
      </w:r>
      <w:r w:rsidRPr="004D4BE7">
        <w:rPr>
          <w:lang w:val="ru-RU"/>
        </w:rPr>
        <w:t xml:space="preserve"> &amp; </w:t>
      </w:r>
      <w:r>
        <w:t>Potenza</w:t>
      </w:r>
      <w:r w:rsidRPr="004D4BE7">
        <w:rPr>
          <w:lang w:val="ru-RU"/>
        </w:rPr>
        <w:t xml:space="preserve">, 2014; </w:t>
      </w:r>
      <w:r>
        <w:t>Kuss</w:t>
      </w:r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2018; </w:t>
      </w:r>
      <w:r>
        <w:t>Weinstein</w:t>
      </w:r>
      <w:r w:rsidRPr="004D4BE7">
        <w:rPr>
          <w:lang w:val="ru-RU"/>
        </w:rPr>
        <w:t xml:space="preserve"> &amp; </w:t>
      </w:r>
      <w:proofErr w:type="spellStart"/>
      <w:r>
        <w:t>Lejoyeux</w:t>
      </w:r>
      <w:proofErr w:type="spellEnd"/>
      <w:r w:rsidRPr="004D4BE7">
        <w:rPr>
          <w:lang w:val="ru-RU"/>
        </w:rPr>
        <w:t xml:space="preserve">, 2020). Результаты настоящего исследования показывают, что с </w:t>
      </w:r>
      <w:r>
        <w:t>GD</w:t>
      </w:r>
      <w:r w:rsidRPr="004D4BE7">
        <w:rPr>
          <w:lang w:val="ru-RU"/>
        </w:rPr>
        <w:t xml:space="preserve"> связаны импульсивность, персеверация, регуляция эмоций и </w:t>
      </w:r>
      <w:proofErr w:type="spellStart"/>
      <w:r w:rsidRPr="004D4BE7">
        <w:rPr>
          <w:lang w:val="ru-RU"/>
        </w:rPr>
        <w:t>аверсивная</w:t>
      </w:r>
      <w:proofErr w:type="spellEnd"/>
      <w:r w:rsidRPr="004D4BE7">
        <w:rPr>
          <w:lang w:val="ru-RU"/>
        </w:rPr>
        <w:t xml:space="preserve"> чувствительность. У лиц с </w:t>
      </w:r>
      <w:r>
        <w:t>GD</w:t>
      </w:r>
      <w:r w:rsidRPr="004D4BE7">
        <w:rPr>
          <w:lang w:val="ru-RU"/>
        </w:rPr>
        <w:t xml:space="preserve"> по сравнению с контролем выше частота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с </w:t>
      </w:r>
      <w:r>
        <w:t>ADHD</w:t>
      </w:r>
      <w:r w:rsidRPr="004D4BE7">
        <w:rPr>
          <w:lang w:val="ru-RU"/>
        </w:rPr>
        <w:t xml:space="preserve">, депрессивным расстройством и </w:t>
      </w:r>
      <w:r>
        <w:t>GAD</w:t>
      </w:r>
      <w:r w:rsidRPr="004D4BE7">
        <w:rPr>
          <w:lang w:val="ru-RU"/>
        </w:rPr>
        <w:t xml:space="preserve">. Эти многоуровневые факторы могут сложным образом усиливать и </w:t>
      </w:r>
      <w:proofErr w:type="gramStart"/>
      <w:r w:rsidRPr="004D4BE7">
        <w:rPr>
          <w:lang w:val="ru-RU"/>
        </w:rPr>
        <w:t>усугублять друг друга</w:t>
      </w:r>
      <w:proofErr w:type="gramEnd"/>
      <w:r w:rsidRPr="004D4BE7">
        <w:rPr>
          <w:lang w:val="ru-RU"/>
        </w:rPr>
        <w:t xml:space="preserve"> и вносить вклад в разные стадии </w:t>
      </w:r>
      <w:r>
        <w:t>GD</w:t>
      </w:r>
      <w:r w:rsidRPr="004D4BE7">
        <w:rPr>
          <w:lang w:val="ru-RU"/>
        </w:rPr>
        <w:t xml:space="preserve">. Например, </w:t>
      </w:r>
      <w:r>
        <w:t>ADHD</w:t>
      </w:r>
      <w:r w:rsidRPr="004D4BE7">
        <w:rPr>
          <w:lang w:val="ru-RU"/>
        </w:rPr>
        <w:t xml:space="preserve"> и поиск удовольствий были связаны с </w:t>
      </w:r>
      <w:r>
        <w:t>HG</w:t>
      </w:r>
      <w:r w:rsidRPr="004D4BE7">
        <w:rPr>
          <w:lang w:val="ru-RU"/>
        </w:rPr>
        <w:t xml:space="preserve"> как с возможной ранней стадией </w:t>
      </w:r>
      <w:r>
        <w:t>GD</w:t>
      </w:r>
      <w:r w:rsidRPr="004D4BE7">
        <w:rPr>
          <w:lang w:val="ru-RU"/>
        </w:rPr>
        <w:t xml:space="preserve">, тогда как депрессия была связана с </w:t>
      </w:r>
      <w:r>
        <w:t>GD</w:t>
      </w:r>
      <w:r w:rsidRPr="004D4BE7">
        <w:rPr>
          <w:lang w:val="ru-RU"/>
        </w:rPr>
        <w:t xml:space="preserve"> по сравнению с </w:t>
      </w:r>
      <w:r>
        <w:t>HG</w:t>
      </w:r>
      <w:r w:rsidRPr="004D4BE7">
        <w:rPr>
          <w:lang w:val="ru-RU"/>
        </w:rPr>
        <w:t xml:space="preserve">. Необходимы дополнительные исследования, позволяющие понять сложное взаимодействие факторов риска и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 xml:space="preserve"> при </w:t>
      </w:r>
      <w:r>
        <w:t>GD</w:t>
      </w:r>
      <w:r w:rsidRPr="004D4BE7">
        <w:rPr>
          <w:lang w:val="ru-RU"/>
        </w:rPr>
        <w:t xml:space="preserve"> и </w:t>
      </w:r>
      <w:r>
        <w:t>HG</w:t>
      </w:r>
      <w:r w:rsidRPr="004D4BE7">
        <w:rPr>
          <w:lang w:val="ru-RU"/>
        </w:rPr>
        <w:t xml:space="preserve">, например роль мотивов ухода от реальности в связи между </w:t>
      </w:r>
      <w:r>
        <w:t>ADHD</w:t>
      </w:r>
      <w:r w:rsidRPr="004D4BE7">
        <w:rPr>
          <w:lang w:val="ru-RU"/>
        </w:rPr>
        <w:t xml:space="preserve"> и </w:t>
      </w:r>
      <w:r>
        <w:t>GD</w:t>
      </w:r>
      <w:r w:rsidRPr="004D4BE7">
        <w:rPr>
          <w:lang w:val="ru-RU"/>
        </w:rPr>
        <w:t xml:space="preserve"> (</w:t>
      </w:r>
      <w:proofErr w:type="spellStart"/>
      <w:r>
        <w:t>Koncz</w:t>
      </w:r>
      <w:proofErr w:type="spellEnd"/>
      <w:r w:rsidRPr="004D4BE7">
        <w:rPr>
          <w:lang w:val="ru-RU"/>
        </w:rPr>
        <w:t xml:space="preserve"> </w:t>
      </w:r>
      <w:r>
        <w:t>et</w:t>
      </w:r>
      <w:r w:rsidRPr="004D4BE7">
        <w:rPr>
          <w:lang w:val="ru-RU"/>
        </w:rPr>
        <w:t xml:space="preserve"> </w:t>
      </w:r>
      <w:r>
        <w:t>al</w:t>
      </w:r>
      <w:r w:rsidRPr="004D4BE7">
        <w:rPr>
          <w:lang w:val="ru-RU"/>
        </w:rPr>
        <w:t xml:space="preserve">., 2024). Эти результаты имеют важное значение для клинической практики. Для разработки индивидуализированного и интегрированного лечения, соответствующего личным потребностям лиц с </w:t>
      </w:r>
      <w:r>
        <w:t>GD</w:t>
      </w:r>
      <w:r w:rsidRPr="004D4BE7">
        <w:rPr>
          <w:lang w:val="ru-RU"/>
        </w:rPr>
        <w:t xml:space="preserve"> или </w:t>
      </w:r>
      <w:r>
        <w:t>HG</w:t>
      </w:r>
      <w:r w:rsidRPr="004D4BE7">
        <w:rPr>
          <w:lang w:val="ru-RU"/>
        </w:rPr>
        <w:t xml:space="preserve">, необходимы комплексные оценки, охватывающие указанные ключевые области и психиатрические </w:t>
      </w:r>
      <w:proofErr w:type="spellStart"/>
      <w:r w:rsidRPr="004D4BE7">
        <w:rPr>
          <w:lang w:val="ru-RU"/>
        </w:rPr>
        <w:t>коморбидности</w:t>
      </w:r>
      <w:proofErr w:type="spellEnd"/>
      <w:r w:rsidRPr="004D4BE7">
        <w:rPr>
          <w:lang w:val="ru-RU"/>
        </w:rPr>
        <w:t>.</w:t>
      </w:r>
    </w:p>
    <w:p w14:paraId="1E5F5554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Ограничения</w:t>
      </w:r>
    </w:p>
    <w:p w14:paraId="4A592E5D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Настоящее исследование имеет ряд ограничений. Во-первых, ввиду дизайна типа случай-контроль направление связи между </w:t>
      </w:r>
      <w:r>
        <w:t>GD</w:t>
      </w:r>
      <w:r w:rsidRPr="004D4BE7">
        <w:rPr>
          <w:lang w:val="ru-RU"/>
        </w:rPr>
        <w:t xml:space="preserve"> и психиатрическими расстройствами определить невозможно. Во-вторых, симптомы депрессии и социальной тревожности могли препятствовать участию в исследовании некоторых лиц с </w:t>
      </w:r>
      <w:r>
        <w:t>SAD</w:t>
      </w:r>
      <w:r w:rsidRPr="004D4BE7">
        <w:rPr>
          <w:lang w:val="ru-RU"/>
        </w:rPr>
        <w:t xml:space="preserve"> или большим депрессивным расстройством. Однако этот эффект был бы одинаковым как для группы </w:t>
      </w:r>
      <w:r>
        <w:t>GD</w:t>
      </w:r>
      <w:r w:rsidRPr="004D4BE7">
        <w:rPr>
          <w:lang w:val="ru-RU"/>
        </w:rPr>
        <w:t xml:space="preserve">, так и для контрольной группы. В-третьих, в настоящем исследовании не была продемонстрирована статистически значимая связь между </w:t>
      </w:r>
      <w:r>
        <w:t>GD</w:t>
      </w:r>
      <w:r w:rsidRPr="004D4BE7">
        <w:rPr>
          <w:lang w:val="ru-RU"/>
        </w:rPr>
        <w:t xml:space="preserve"> и </w:t>
      </w:r>
      <w:r>
        <w:t>SAD</w:t>
      </w:r>
      <w:r w:rsidRPr="004D4BE7">
        <w:rPr>
          <w:lang w:val="ru-RU"/>
        </w:rPr>
        <w:t xml:space="preserve"> после контроля других психических расстройств, хотя у участников с </w:t>
      </w:r>
      <w:r>
        <w:t>SAD</w:t>
      </w:r>
      <w:r w:rsidRPr="004D4BE7">
        <w:rPr>
          <w:lang w:val="ru-RU"/>
        </w:rPr>
        <w:t xml:space="preserve"> отношение шансов наличия </w:t>
      </w:r>
      <w:r>
        <w:t>GD</w:t>
      </w:r>
      <w:r w:rsidRPr="004D4BE7">
        <w:rPr>
          <w:lang w:val="ru-RU"/>
        </w:rPr>
        <w:t xml:space="preserve"> по сравнению с контролем составляло 5.74 (95% ДИ [1.02; 32.27]). Небольшое число случаев социальной тревожности могло ограничить статистическую мощность при выявлении значимого различия. В-четвертых, значения альфа </w:t>
      </w:r>
      <w:proofErr w:type="spellStart"/>
      <w:r w:rsidRPr="004D4BE7">
        <w:rPr>
          <w:lang w:val="ru-RU"/>
        </w:rPr>
        <w:t>Кронбаха</w:t>
      </w:r>
      <w:proofErr w:type="spellEnd"/>
      <w:r w:rsidRPr="004D4BE7">
        <w:rPr>
          <w:lang w:val="ru-RU"/>
        </w:rPr>
        <w:t xml:space="preserve"> для </w:t>
      </w:r>
      <w:proofErr w:type="spellStart"/>
      <w:r w:rsidRPr="004D4BE7">
        <w:rPr>
          <w:lang w:val="ru-RU"/>
        </w:rPr>
        <w:t>подшкалы</w:t>
      </w:r>
      <w:proofErr w:type="spellEnd"/>
      <w:r w:rsidRPr="004D4BE7">
        <w:rPr>
          <w:lang w:val="ru-RU"/>
        </w:rPr>
        <w:t xml:space="preserve"> поиска удовольствий в опроснике </w:t>
      </w:r>
      <w:r>
        <w:t>BIS</w:t>
      </w:r>
      <w:r w:rsidRPr="004D4BE7">
        <w:rPr>
          <w:lang w:val="ru-RU"/>
        </w:rPr>
        <w:t>/</w:t>
      </w:r>
      <w:r>
        <w:t>BAS</w:t>
      </w:r>
      <w:r w:rsidRPr="004D4BE7">
        <w:rPr>
          <w:lang w:val="ru-RU"/>
        </w:rPr>
        <w:t xml:space="preserve"> были ниже 0.6. Небольшое число пунктов (четыре) могло быть связано с низкой альфой </w:t>
      </w:r>
      <w:proofErr w:type="spellStart"/>
      <w:r w:rsidRPr="004D4BE7">
        <w:rPr>
          <w:lang w:val="ru-RU"/>
        </w:rPr>
        <w:t>Кронбаха</w:t>
      </w:r>
      <w:proofErr w:type="spellEnd"/>
      <w:r w:rsidRPr="004D4BE7">
        <w:rPr>
          <w:lang w:val="ru-RU"/>
        </w:rPr>
        <w:t>, как это было отмечено и в оригинальном исследовании (</w:t>
      </w:r>
      <w:r>
        <w:t>Carver</w:t>
      </w:r>
      <w:r w:rsidRPr="004D4BE7">
        <w:rPr>
          <w:lang w:val="ru-RU"/>
        </w:rPr>
        <w:t xml:space="preserve"> &amp; </w:t>
      </w:r>
      <w:r>
        <w:t>White</w:t>
      </w:r>
      <w:r w:rsidRPr="004D4BE7">
        <w:rPr>
          <w:lang w:val="ru-RU"/>
        </w:rPr>
        <w:t xml:space="preserve">, 1994). Наконец, число лиц, с которыми первоначально связывались и которых затем исключили на этапе телефонного скрининга </w:t>
      </w:r>
      <w:r w:rsidRPr="004D4BE7">
        <w:rPr>
          <w:lang w:val="ru-RU"/>
        </w:rPr>
        <w:lastRenderedPageBreak/>
        <w:t>или диагностического интервью, не фиксировалось. Поэтому невозможно подтвердить, вносили ли критерии исключения вклад в систематическую ошибку набора случаев. Однако на этапе оценки все участники полностью заполнили опросники и не выбывали из исследования.</w:t>
      </w:r>
    </w:p>
    <w:p w14:paraId="5A547E20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Заключение</w:t>
      </w:r>
    </w:p>
    <w:p w14:paraId="76777161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Настоящее исследование типа случай-контроль с использованием диагностического интервью продемонстрировало психиатрическую </w:t>
      </w:r>
      <w:proofErr w:type="spellStart"/>
      <w:r w:rsidRPr="004D4BE7">
        <w:rPr>
          <w:lang w:val="ru-RU"/>
        </w:rPr>
        <w:t>коморбидность</w:t>
      </w:r>
      <w:proofErr w:type="spellEnd"/>
      <w:r w:rsidRPr="004D4BE7">
        <w:rPr>
          <w:lang w:val="ru-RU"/>
        </w:rPr>
        <w:t xml:space="preserve"> </w:t>
      </w:r>
      <w:r>
        <w:t>ADHD</w:t>
      </w:r>
      <w:r w:rsidRPr="004D4BE7">
        <w:rPr>
          <w:lang w:val="ru-RU"/>
        </w:rPr>
        <w:t xml:space="preserve">, депрессивного расстройства и </w:t>
      </w:r>
      <w:r>
        <w:t>GAD</w:t>
      </w:r>
      <w:r w:rsidRPr="004D4BE7">
        <w:rPr>
          <w:lang w:val="ru-RU"/>
        </w:rPr>
        <w:t xml:space="preserve"> у лиц с </w:t>
      </w:r>
      <w:r>
        <w:t>GD</w:t>
      </w:r>
      <w:r w:rsidRPr="004D4BE7">
        <w:rPr>
          <w:lang w:val="ru-RU"/>
        </w:rPr>
        <w:t xml:space="preserve"> по критериям </w:t>
      </w:r>
      <w:r>
        <w:t>ICD</w:t>
      </w:r>
      <w:r w:rsidRPr="004D4BE7">
        <w:rPr>
          <w:lang w:val="ru-RU"/>
        </w:rPr>
        <w:t xml:space="preserve">-11. У лиц с </w:t>
      </w:r>
      <w:r>
        <w:t>GD</w:t>
      </w:r>
      <w:r w:rsidRPr="004D4BE7">
        <w:rPr>
          <w:lang w:val="ru-RU"/>
        </w:rPr>
        <w:t xml:space="preserve"> необходимо оценивать и лечить </w:t>
      </w:r>
      <w:r>
        <w:t>ADHD</w:t>
      </w:r>
      <w:r w:rsidRPr="004D4BE7">
        <w:rPr>
          <w:lang w:val="ru-RU"/>
        </w:rPr>
        <w:t xml:space="preserve">, депрессивное расстройство и </w:t>
      </w:r>
      <w:r>
        <w:t>GAD</w:t>
      </w:r>
      <w:r w:rsidRPr="004D4BE7">
        <w:rPr>
          <w:lang w:val="ru-RU"/>
        </w:rPr>
        <w:t xml:space="preserve">. Более высокая импульсивность, более выраженная </w:t>
      </w:r>
      <w:proofErr w:type="spellStart"/>
      <w:r w:rsidRPr="004D4BE7">
        <w:rPr>
          <w:lang w:val="ru-RU"/>
        </w:rPr>
        <w:t>аверсивная</w:t>
      </w:r>
      <w:proofErr w:type="spellEnd"/>
      <w:r w:rsidRPr="004D4BE7">
        <w:rPr>
          <w:lang w:val="ru-RU"/>
        </w:rPr>
        <w:t xml:space="preserve"> чувствительность и более низкий уровень когнитивной переоценки также были связаны с </w:t>
      </w:r>
      <w:r>
        <w:t>GD</w:t>
      </w:r>
      <w:r w:rsidRPr="004D4BE7">
        <w:rPr>
          <w:lang w:val="ru-RU"/>
        </w:rPr>
        <w:t xml:space="preserve">. Воздействия, направленные на эти факторы риска, следует включать в план лечения </w:t>
      </w:r>
      <w:r>
        <w:t>GD</w:t>
      </w:r>
      <w:r w:rsidRPr="004D4BE7">
        <w:rPr>
          <w:lang w:val="ru-RU"/>
        </w:rPr>
        <w:t xml:space="preserve">. </w:t>
      </w:r>
      <w:r>
        <w:t>ADHD</w:t>
      </w:r>
      <w:r w:rsidRPr="004D4BE7">
        <w:rPr>
          <w:lang w:val="ru-RU"/>
        </w:rPr>
        <w:t xml:space="preserve"> также был связан с </w:t>
      </w:r>
      <w:r>
        <w:t>HG</w:t>
      </w:r>
      <w:r w:rsidRPr="004D4BE7">
        <w:rPr>
          <w:lang w:val="ru-RU"/>
        </w:rPr>
        <w:t xml:space="preserve">, а депрессивное расстройство — с </w:t>
      </w:r>
      <w:r>
        <w:t>GD</w:t>
      </w:r>
      <w:r w:rsidRPr="004D4BE7">
        <w:rPr>
          <w:lang w:val="ru-RU"/>
        </w:rPr>
        <w:t xml:space="preserve"> по сравнению с </w:t>
      </w:r>
      <w:r>
        <w:t>HG</w:t>
      </w:r>
      <w:r w:rsidRPr="004D4BE7">
        <w:rPr>
          <w:lang w:val="ru-RU"/>
        </w:rPr>
        <w:t xml:space="preserve">. Вмешательство по поводу </w:t>
      </w:r>
      <w:r>
        <w:t>ADHD</w:t>
      </w:r>
      <w:r w:rsidRPr="004D4BE7">
        <w:rPr>
          <w:lang w:val="ru-RU"/>
        </w:rPr>
        <w:t xml:space="preserve"> следует начинать как можно раньше, поскольку это может способствовать профилактике </w:t>
      </w:r>
      <w:r>
        <w:t>HG</w:t>
      </w:r>
      <w:r w:rsidRPr="004D4BE7">
        <w:rPr>
          <w:lang w:val="ru-RU"/>
        </w:rPr>
        <w:t>. Эффекты предложенных вмешательств следует изучить в будущих интервенционных исследованиях.</w:t>
      </w:r>
    </w:p>
    <w:p w14:paraId="5F459BAF" w14:textId="77777777" w:rsidR="003A0B7E" w:rsidRPr="004D4BE7" w:rsidRDefault="00000000">
      <w:pPr>
        <w:spacing w:before="200" w:after="100"/>
        <w:rPr>
          <w:lang w:val="ru-RU"/>
        </w:rPr>
      </w:pPr>
      <w:r w:rsidRPr="004D4BE7">
        <w:rPr>
          <w:b/>
          <w:color w:val="282828"/>
          <w:sz w:val="30"/>
          <w:lang w:val="ru-RU"/>
        </w:rPr>
        <w:t>Список сокращений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654"/>
      </w:tblGrid>
      <w:tr w:rsidR="003A0B7E" w14:paraId="3058CBE5" w14:textId="77777777">
        <w:trPr>
          <w:jc w:val="center"/>
        </w:trPr>
        <w:tc>
          <w:tcPr>
            <w:tcW w:w="1814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C7275C0" w14:textId="77777777" w:rsidR="003A0B7E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t>Сокращение</w:t>
            </w:r>
            <w:proofErr w:type="spellEnd"/>
          </w:p>
        </w:tc>
        <w:tc>
          <w:tcPr>
            <w:tcW w:w="7654" w:type="dxa"/>
            <w:shd w:val="clear" w:color="auto" w:fill="D9E6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1BECD1" w14:textId="77777777" w:rsidR="003A0B7E" w:rsidRDefault="00000000">
            <w:pPr>
              <w:jc w:val="center"/>
            </w:pPr>
            <w:r>
              <w:rPr>
                <w:b/>
                <w:sz w:val="18"/>
              </w:rPr>
              <w:t>Расшифровка</w:t>
            </w:r>
          </w:p>
        </w:tc>
      </w:tr>
      <w:tr w:rsidR="003A0B7E" w:rsidRPr="004D4BE7" w14:paraId="28A25700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992CBFC" w14:textId="77777777" w:rsidR="003A0B7E" w:rsidRDefault="00000000">
            <w:pPr>
              <w:jc w:val="center"/>
            </w:pPr>
            <w:r>
              <w:rPr>
                <w:sz w:val="18"/>
              </w:rPr>
              <w:t>ADHD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FA85A6F" w14:textId="77777777" w:rsidR="003A0B7E" w:rsidRPr="004D4BE7" w:rsidRDefault="00000000">
            <w:pPr>
              <w:rPr>
                <w:lang w:val="ru-RU"/>
              </w:rPr>
            </w:pPr>
            <w:r w:rsidRPr="004D4BE7">
              <w:rPr>
                <w:sz w:val="18"/>
                <w:lang w:val="ru-RU"/>
              </w:rPr>
              <w:t>синдром дефицита внимания и гиперактивности</w:t>
            </w:r>
          </w:p>
        </w:tc>
      </w:tr>
      <w:tr w:rsidR="003A0B7E" w14:paraId="5F7DB0ED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6F06C72" w14:textId="77777777" w:rsidR="003A0B7E" w:rsidRDefault="00000000">
            <w:pPr>
              <w:jc w:val="center"/>
            </w:pPr>
            <w:r>
              <w:rPr>
                <w:sz w:val="18"/>
              </w:rPr>
              <w:t>ANOVA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07D3C44" w14:textId="77777777" w:rsidR="003A0B7E" w:rsidRDefault="00000000">
            <w:r>
              <w:rPr>
                <w:sz w:val="18"/>
              </w:rPr>
              <w:t>дисперсионный анализ</w:t>
            </w:r>
          </w:p>
        </w:tc>
      </w:tr>
      <w:tr w:rsidR="003A0B7E" w14:paraId="65E28ABD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3F96516" w14:textId="77777777" w:rsidR="003A0B7E" w:rsidRDefault="00000000">
            <w:pPr>
              <w:jc w:val="center"/>
            </w:pPr>
            <w:r>
              <w:rPr>
                <w:sz w:val="18"/>
              </w:rPr>
              <w:t>APA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1A8055D" w14:textId="77777777" w:rsidR="003A0B7E" w:rsidRDefault="00000000">
            <w:r>
              <w:rPr>
                <w:sz w:val="18"/>
              </w:rPr>
              <w:t>American Psychiatric Association</w:t>
            </w:r>
          </w:p>
        </w:tc>
      </w:tr>
      <w:tr w:rsidR="003A0B7E" w:rsidRPr="004D4BE7" w14:paraId="1314D5BE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EF15937" w14:textId="77777777" w:rsidR="003A0B7E" w:rsidRDefault="00000000">
            <w:pPr>
              <w:jc w:val="center"/>
            </w:pPr>
            <w:r>
              <w:rPr>
                <w:sz w:val="18"/>
              </w:rPr>
              <w:t>BIS/BAS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BF863AE" w14:textId="77777777" w:rsidR="003A0B7E" w:rsidRPr="004D4BE7" w:rsidRDefault="00000000">
            <w:pPr>
              <w:rPr>
                <w:lang w:val="ru-RU"/>
              </w:rPr>
            </w:pPr>
            <w:r w:rsidRPr="004D4BE7">
              <w:rPr>
                <w:sz w:val="18"/>
                <w:lang w:val="ru-RU"/>
              </w:rPr>
              <w:t>система поведенческого торможения и система поведенческой активации/приближения</w:t>
            </w:r>
          </w:p>
        </w:tc>
      </w:tr>
      <w:tr w:rsidR="003A0B7E" w14:paraId="24870121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1589119" w14:textId="77777777" w:rsidR="003A0B7E" w:rsidRDefault="00000000">
            <w:pPr>
              <w:jc w:val="center"/>
            </w:pPr>
            <w:r>
              <w:rPr>
                <w:sz w:val="18"/>
              </w:rPr>
              <w:t>CCPT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DC332F6" w14:textId="77777777" w:rsidR="003A0B7E" w:rsidRDefault="00000000">
            <w:r>
              <w:rPr>
                <w:sz w:val="18"/>
              </w:rPr>
              <w:t>Conners’ Continuous Performance Test, 3-е издание</w:t>
            </w:r>
          </w:p>
        </w:tc>
      </w:tr>
      <w:tr w:rsidR="003A0B7E" w14:paraId="046D8005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A4308D5" w14:textId="77777777" w:rsidR="003A0B7E" w:rsidRDefault="00000000">
            <w:pPr>
              <w:jc w:val="center"/>
            </w:pPr>
            <w:r>
              <w:rPr>
                <w:sz w:val="18"/>
              </w:rPr>
              <w:t>C-MINI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8B6B5E9" w14:textId="77777777" w:rsidR="003A0B7E" w:rsidRDefault="00000000">
            <w:r>
              <w:rPr>
                <w:sz w:val="18"/>
              </w:rPr>
              <w:t>китайская версия Mini International Neuropsychiatric Interview</w:t>
            </w:r>
          </w:p>
        </w:tc>
      </w:tr>
      <w:tr w:rsidR="003A0B7E" w:rsidRPr="004D4BE7" w14:paraId="610AD838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7D4E128" w14:textId="77777777" w:rsidR="003A0B7E" w:rsidRDefault="00000000">
            <w:pPr>
              <w:jc w:val="center"/>
            </w:pPr>
            <w:r>
              <w:rPr>
                <w:sz w:val="18"/>
              </w:rPr>
              <w:t>DSM-5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CCEB537" w14:textId="77777777" w:rsidR="003A0B7E" w:rsidRPr="004D4BE7" w:rsidRDefault="00000000">
            <w:pPr>
              <w:rPr>
                <w:lang w:val="ru-RU"/>
              </w:rPr>
            </w:pPr>
            <w:r w:rsidRPr="004D4BE7">
              <w:rPr>
                <w:sz w:val="18"/>
                <w:lang w:val="ru-RU"/>
              </w:rPr>
              <w:t>пятое издание «Диагностического и статистического руководства по психическим расстройствам»</w:t>
            </w:r>
          </w:p>
        </w:tc>
      </w:tr>
      <w:tr w:rsidR="003A0B7E" w14:paraId="277B0628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815C2FE" w14:textId="77777777" w:rsidR="003A0B7E" w:rsidRDefault="00000000">
            <w:pPr>
              <w:jc w:val="center"/>
            </w:pPr>
            <w:r>
              <w:rPr>
                <w:sz w:val="18"/>
              </w:rPr>
              <w:t>GAD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5E684A1" w14:textId="77777777" w:rsidR="003A0B7E" w:rsidRDefault="00000000">
            <w:r>
              <w:rPr>
                <w:sz w:val="18"/>
              </w:rPr>
              <w:t>генерализованное тревожное расстройство</w:t>
            </w:r>
          </w:p>
        </w:tc>
      </w:tr>
      <w:tr w:rsidR="003A0B7E" w14:paraId="0C138D9D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35A7F523" w14:textId="77777777" w:rsidR="003A0B7E" w:rsidRDefault="00000000">
            <w:pPr>
              <w:jc w:val="center"/>
            </w:pPr>
            <w:r>
              <w:rPr>
                <w:sz w:val="18"/>
              </w:rPr>
              <w:t>GD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077419EF" w14:textId="77777777" w:rsidR="003A0B7E" w:rsidRDefault="00000000">
            <w:r>
              <w:rPr>
                <w:sz w:val="18"/>
              </w:rPr>
              <w:t>игровое расстройство</w:t>
            </w:r>
          </w:p>
        </w:tc>
      </w:tr>
      <w:tr w:rsidR="003A0B7E" w14:paraId="56498279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52C84D1" w14:textId="77777777" w:rsidR="003A0B7E" w:rsidRDefault="00000000">
            <w:pPr>
              <w:jc w:val="center"/>
            </w:pPr>
            <w:r>
              <w:rPr>
                <w:sz w:val="18"/>
              </w:rPr>
              <w:t>HG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77F03C62" w14:textId="77777777" w:rsidR="003A0B7E" w:rsidRDefault="00000000">
            <w:r>
              <w:rPr>
                <w:sz w:val="18"/>
              </w:rPr>
              <w:t>опасный гейминг</w:t>
            </w:r>
          </w:p>
        </w:tc>
      </w:tr>
      <w:tr w:rsidR="003A0B7E" w:rsidRPr="004D4BE7" w14:paraId="46A778AB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D1F33FF" w14:textId="77777777" w:rsidR="003A0B7E" w:rsidRDefault="00000000">
            <w:pPr>
              <w:jc w:val="center"/>
            </w:pPr>
            <w:r>
              <w:rPr>
                <w:sz w:val="18"/>
              </w:rPr>
              <w:t>ICD-11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11AA7E3" w14:textId="77777777" w:rsidR="003A0B7E" w:rsidRPr="004D4BE7" w:rsidRDefault="00000000">
            <w:pPr>
              <w:rPr>
                <w:lang w:val="ru-RU"/>
              </w:rPr>
            </w:pPr>
            <w:r w:rsidRPr="004D4BE7">
              <w:rPr>
                <w:sz w:val="18"/>
                <w:lang w:val="ru-RU"/>
              </w:rPr>
              <w:t>11-й пересмотр Международной классификации болезней</w:t>
            </w:r>
          </w:p>
        </w:tc>
      </w:tr>
      <w:tr w:rsidR="003A0B7E" w14:paraId="11D44D1D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1CD23B8" w14:textId="77777777" w:rsidR="003A0B7E" w:rsidRDefault="00000000">
            <w:pPr>
              <w:jc w:val="center"/>
            </w:pPr>
            <w:r>
              <w:rPr>
                <w:sz w:val="18"/>
              </w:rPr>
              <w:t>IGD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55E01D63" w14:textId="77777777" w:rsidR="003A0B7E" w:rsidRDefault="00000000">
            <w:r>
              <w:rPr>
                <w:sz w:val="18"/>
              </w:rPr>
              <w:t>интернет-игровое расстройство</w:t>
            </w:r>
          </w:p>
        </w:tc>
      </w:tr>
      <w:tr w:rsidR="003A0B7E" w14:paraId="73462E92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189F0577" w14:textId="77777777" w:rsidR="003A0B7E" w:rsidRDefault="00000000">
            <w:pPr>
              <w:jc w:val="center"/>
            </w:pPr>
            <w:r>
              <w:rPr>
                <w:sz w:val="18"/>
              </w:rPr>
              <w:t>SAD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27A154FD" w14:textId="77777777" w:rsidR="003A0B7E" w:rsidRDefault="00000000">
            <w:r>
              <w:rPr>
                <w:sz w:val="18"/>
              </w:rPr>
              <w:t>социальное тревожное расстройство</w:t>
            </w:r>
          </w:p>
        </w:tc>
      </w:tr>
      <w:tr w:rsidR="003A0B7E" w14:paraId="4DB15E38" w14:textId="77777777">
        <w:trPr>
          <w:jc w:val="center"/>
        </w:trPr>
        <w:tc>
          <w:tcPr>
            <w:tcW w:w="181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66758DE0" w14:textId="77777777" w:rsidR="003A0B7E" w:rsidRDefault="00000000">
            <w:pPr>
              <w:jc w:val="center"/>
            </w:pPr>
            <w:r>
              <w:rPr>
                <w:sz w:val="18"/>
              </w:rPr>
              <w:t>WHO</w:t>
            </w:r>
          </w:p>
        </w:tc>
        <w:tc>
          <w:tcPr>
            <w:tcW w:w="7654" w:type="dxa"/>
            <w:tcMar>
              <w:top w:w="85" w:type="dxa"/>
              <w:left w:w="95" w:type="dxa"/>
              <w:bottom w:w="85" w:type="dxa"/>
              <w:right w:w="95" w:type="dxa"/>
            </w:tcMar>
            <w:vAlign w:val="center"/>
          </w:tcPr>
          <w:p w14:paraId="46D0A75C" w14:textId="77777777" w:rsidR="003A0B7E" w:rsidRDefault="00000000">
            <w:r>
              <w:rPr>
                <w:sz w:val="18"/>
              </w:rPr>
              <w:t>World Health Organization</w:t>
            </w:r>
          </w:p>
        </w:tc>
      </w:tr>
    </w:tbl>
    <w:p w14:paraId="28787678" w14:textId="77777777" w:rsidR="003A0B7E" w:rsidRDefault="00000000">
      <w:pPr>
        <w:spacing w:before="200" w:after="100"/>
      </w:pPr>
      <w:r>
        <w:rPr>
          <w:b/>
          <w:color w:val="282828"/>
          <w:sz w:val="30"/>
        </w:rPr>
        <w:t>Приложение</w:t>
      </w:r>
    </w:p>
    <w:p w14:paraId="30659131" w14:textId="77777777" w:rsidR="003A0B7E" w:rsidRDefault="00000000">
      <w:pPr>
        <w:spacing w:before="180" w:after="80"/>
      </w:pPr>
      <w:r>
        <w:rPr>
          <w:b/>
          <w:color w:val="373737"/>
          <w:sz w:val="26"/>
        </w:rPr>
        <w:t>Объявления, использовавшиеся для набора участников</w:t>
      </w:r>
    </w:p>
    <w:p w14:paraId="437FD619" w14:textId="77777777" w:rsidR="003A0B7E" w:rsidRPr="004D4BE7" w:rsidRDefault="00000000">
      <w:pPr>
        <w:spacing w:after="80"/>
        <w:ind w:firstLine="425"/>
        <w:jc w:val="both"/>
        <w:rPr>
          <w:lang w:val="ru-RU"/>
        </w:rPr>
      </w:pPr>
      <w:r w:rsidRPr="004D4BE7">
        <w:rPr>
          <w:lang w:val="ru-RU"/>
        </w:rPr>
        <w:t xml:space="preserve">Название проекта. Подготовка мозга к восстановлению: </w:t>
      </w:r>
      <w:proofErr w:type="spellStart"/>
      <w:r w:rsidRPr="004D4BE7">
        <w:rPr>
          <w:lang w:val="ru-RU"/>
        </w:rPr>
        <w:t>нейрофидбек</w:t>
      </w:r>
      <w:proofErr w:type="spellEnd"/>
      <w:r w:rsidRPr="004D4BE7">
        <w:rPr>
          <w:lang w:val="ru-RU"/>
        </w:rPr>
        <w:t xml:space="preserve">-тренинг при игровом расстройстве, </w:t>
      </w:r>
      <w:proofErr w:type="spellStart"/>
      <w:r w:rsidRPr="004D4BE7">
        <w:rPr>
          <w:lang w:val="ru-RU"/>
        </w:rPr>
        <w:t>коморбидном</w:t>
      </w:r>
      <w:proofErr w:type="spellEnd"/>
      <w:r w:rsidRPr="004D4BE7">
        <w:rPr>
          <w:lang w:val="ru-RU"/>
        </w:rPr>
        <w:t xml:space="preserve"> с </w:t>
      </w:r>
      <w:r>
        <w:t>ADHD</w:t>
      </w:r>
      <w:r w:rsidRPr="004D4BE7">
        <w:rPr>
          <w:lang w:val="ru-RU"/>
        </w:rPr>
        <w:t xml:space="preserve"> у взрослых.</w:t>
      </w:r>
    </w:p>
    <w:p w14:paraId="1A4559FF" w14:textId="77777777" w:rsidR="003A0B7E" w:rsidRPr="004D4BE7" w:rsidRDefault="00000000">
      <w:pPr>
        <w:spacing w:after="80"/>
        <w:jc w:val="both"/>
        <w:rPr>
          <w:lang w:val="ru-RU"/>
        </w:rPr>
      </w:pPr>
      <w:proofErr w:type="gramStart"/>
      <w:r w:rsidRPr="004D4BE7">
        <w:rPr>
          <w:lang w:val="ru-RU"/>
        </w:rPr>
        <w:lastRenderedPageBreak/>
        <w:t>Мы — исследователи</w:t>
      </w:r>
      <w:proofErr w:type="gramEnd"/>
      <w:r w:rsidRPr="004D4BE7">
        <w:rPr>
          <w:lang w:val="ru-RU"/>
        </w:rPr>
        <w:t xml:space="preserve"> </w:t>
      </w:r>
      <w:proofErr w:type="spellStart"/>
      <w:r w:rsidRPr="004D4BE7">
        <w:rPr>
          <w:lang w:val="ru-RU"/>
        </w:rPr>
        <w:t>Гаосюнского</w:t>
      </w:r>
      <w:proofErr w:type="spellEnd"/>
      <w:r w:rsidRPr="004D4BE7">
        <w:rPr>
          <w:lang w:val="ru-RU"/>
        </w:rPr>
        <w:t xml:space="preserve"> медицинского университета, и данное исследование посвящено «игровому расстройству». Мы приглашаем к участию представителей одной из двух групп: «Группа игрового расстройства (</w:t>
      </w:r>
      <w:r>
        <w:t>GD</w:t>
      </w:r>
      <w:r w:rsidRPr="004D4BE7">
        <w:rPr>
          <w:lang w:val="ru-RU"/>
        </w:rPr>
        <w:t>)» и «Группа здоровых взрослых». Если вы соответствуете условиям одной из групп, вы можете связаться с нами.</w:t>
      </w:r>
    </w:p>
    <w:p w14:paraId="719A481A" w14:textId="77777777" w:rsidR="003A0B7E" w:rsidRPr="004D4BE7" w:rsidRDefault="00000000">
      <w:pPr>
        <w:spacing w:after="80"/>
        <w:jc w:val="both"/>
        <w:rPr>
          <w:lang w:val="ru-RU"/>
        </w:rPr>
      </w:pPr>
      <w:r w:rsidRPr="004D4BE7">
        <w:rPr>
          <w:lang w:val="ru-RU"/>
        </w:rPr>
        <w:t>Для включения в «Группу игрового расстройства (</w:t>
      </w:r>
      <w:r>
        <w:t>GD</w:t>
      </w:r>
      <w:r w:rsidRPr="004D4BE7">
        <w:rPr>
          <w:lang w:val="ru-RU"/>
        </w:rPr>
        <w:t>)» необходимо соответствовать следующим условиям:</w:t>
      </w:r>
    </w:p>
    <w:p w14:paraId="46CCFDB0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1. Быть онлайн-игроком в возрасте от 20 до 40 лет.</w:t>
      </w:r>
    </w:p>
    <w:p w14:paraId="412D2686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2. Иметь образование не ниже полного среднего.</w:t>
      </w:r>
    </w:p>
    <w:p w14:paraId="7C2BB77F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3. Играть в онлайн-игры не менее пяти лет.</w:t>
      </w:r>
    </w:p>
    <w:p w14:paraId="342B74A7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4. Играть в онлайн-игры более 4 часов в день, более 8 часов по субботам и воскресеньям либо более 40 часов в неделю.</w:t>
      </w:r>
    </w:p>
    <w:p w14:paraId="02270BB4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5. Считать онлайн-игру главным фокусом жизни, влияющим на отношения, здоровье, образование и/или работу.</w:t>
      </w:r>
    </w:p>
    <w:p w14:paraId="2EF8B47C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6. Не переносить отсутствие онлайн-игры в течение трех дней и более.</w:t>
      </w:r>
    </w:p>
    <w:p w14:paraId="1630C674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7. Не иметь тяжелых соматических заболеваний (например, астмы или сердечных заболеваний).</w:t>
      </w:r>
    </w:p>
    <w:p w14:paraId="683A0C9B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8. Не иметь травмы головного мозга или тяжелого заболевания центральной нервной системы.</w:t>
      </w:r>
    </w:p>
    <w:p w14:paraId="1602868E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9. В настоящее время не принимать психотропные препараты (например, снотворные).</w:t>
      </w:r>
    </w:p>
    <w:p w14:paraId="79F0ACCE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10. Никогда не употреблять нелегальные наркотики и не употреблять алкоголь регулярно.</w:t>
      </w:r>
    </w:p>
    <w:p w14:paraId="21225605" w14:textId="77777777" w:rsidR="003A0B7E" w:rsidRPr="004D4BE7" w:rsidRDefault="00000000">
      <w:pPr>
        <w:spacing w:after="80"/>
        <w:jc w:val="both"/>
        <w:rPr>
          <w:lang w:val="ru-RU"/>
        </w:rPr>
      </w:pPr>
      <w:r w:rsidRPr="004D4BE7">
        <w:rPr>
          <w:lang w:val="ru-RU"/>
        </w:rPr>
        <w:t>Для включения в «Группу здоровых взрослых» необходимо соответствовать следующим условиям:</w:t>
      </w:r>
    </w:p>
    <w:p w14:paraId="3D4AC8F8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1. Быть в возрасте от 20 до 40 лет.</w:t>
      </w:r>
    </w:p>
    <w:p w14:paraId="790CB30C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2. Иметь образование не ниже полного среднего.</w:t>
      </w:r>
    </w:p>
    <w:p w14:paraId="773DD535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3. Достаточно соответствовать одному из двух условий:</w:t>
      </w:r>
    </w:p>
    <w:p w14:paraId="1A294A37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 xml:space="preserve">   3.1. Вы часто играете в онлайн-игры и считаете, что они не оказывают значимого отрицательного влияния на вашу жизнь или здоровье.</w:t>
      </w:r>
    </w:p>
    <w:p w14:paraId="3D10F27A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 xml:space="preserve">   3.2. Вы не играете в онлайн-игры либо играете редко и считаете, что пользование интернетом или игра не оказывает значимого отрицательного влияния на вашу жизнь или здоровье.</w:t>
      </w:r>
    </w:p>
    <w:p w14:paraId="4E330BA2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4. Не иметь тяжелых соматических заболеваний (например, астмы или сердечных заболеваний).</w:t>
      </w:r>
    </w:p>
    <w:p w14:paraId="17523379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5. Не иметь травмы головного мозга или тяжелого заболевания центральной нервной системы.</w:t>
      </w:r>
    </w:p>
    <w:p w14:paraId="478D78D5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6. В настоящее время не принимать психотропные препараты (например, снотворные).</w:t>
      </w:r>
    </w:p>
    <w:p w14:paraId="19614EFC" w14:textId="77777777" w:rsidR="003A0B7E" w:rsidRPr="004D4BE7" w:rsidRDefault="00000000">
      <w:pPr>
        <w:spacing w:after="40" w:line="252" w:lineRule="auto"/>
        <w:rPr>
          <w:lang w:val="ru-RU"/>
        </w:rPr>
      </w:pPr>
      <w:r w:rsidRPr="004D4BE7">
        <w:rPr>
          <w:sz w:val="21"/>
          <w:lang w:val="ru-RU"/>
        </w:rPr>
        <w:t>7. Никогда не употреблять нелегальные наркотики и не употреблять алкоголь регулярно.</w:t>
      </w:r>
    </w:p>
    <w:sectPr w:rsidR="003A0B7E" w:rsidRPr="004D4BE7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0689474">
    <w:abstractNumId w:val="8"/>
  </w:num>
  <w:num w:numId="2" w16cid:durableId="217208159">
    <w:abstractNumId w:val="6"/>
  </w:num>
  <w:num w:numId="3" w16cid:durableId="1214462257">
    <w:abstractNumId w:val="5"/>
  </w:num>
  <w:num w:numId="4" w16cid:durableId="685713651">
    <w:abstractNumId w:val="4"/>
  </w:num>
  <w:num w:numId="5" w16cid:durableId="843280888">
    <w:abstractNumId w:val="7"/>
  </w:num>
  <w:num w:numId="6" w16cid:durableId="1068113081">
    <w:abstractNumId w:val="3"/>
  </w:num>
  <w:num w:numId="7" w16cid:durableId="1973899147">
    <w:abstractNumId w:val="2"/>
  </w:num>
  <w:num w:numId="8" w16cid:durableId="2029210430">
    <w:abstractNumId w:val="1"/>
  </w:num>
  <w:num w:numId="9" w16cid:durableId="11110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078A"/>
    <w:rsid w:val="00326F90"/>
    <w:rsid w:val="003A0B7E"/>
    <w:rsid w:val="004D4BE7"/>
    <w:rsid w:val="00AA1D8D"/>
    <w:rsid w:val="00B47730"/>
    <w:rsid w:val="00B63A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C472B"/>
  <w14:defaultImageDpi w14:val="300"/>
  <w15:docId w15:val="{D5261FE0-EC2A-634E-AFB4-5A1B1CA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7944</Words>
  <Characters>45287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Blokhina</cp:lastModifiedBy>
  <cp:revision>5</cp:revision>
  <dcterms:created xsi:type="dcterms:W3CDTF">2013-12-23T23:15:00Z</dcterms:created>
  <dcterms:modified xsi:type="dcterms:W3CDTF">2026-04-20T14:16:00Z</dcterms:modified>
  <cp:category/>
</cp:coreProperties>
</file>