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D0A1" w14:textId="77777777" w:rsidR="00EB7815" w:rsidRPr="008A0118" w:rsidRDefault="00EB7815" w:rsidP="00EB7815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55EDD70C" w14:textId="77777777" w:rsidR="00EB7815" w:rsidRDefault="00EB7815">
      <w:pPr>
        <w:spacing w:line="240" w:lineRule="auto"/>
        <w:rPr>
          <w:sz w:val="22"/>
          <w:lang w:val="ru-RU"/>
        </w:rPr>
      </w:pPr>
    </w:p>
    <w:p w14:paraId="182CA90B" w14:textId="77777777" w:rsidR="00EB7815" w:rsidRDefault="00EB7815">
      <w:pPr>
        <w:spacing w:line="240" w:lineRule="auto"/>
        <w:rPr>
          <w:sz w:val="22"/>
          <w:lang w:val="ru-RU"/>
        </w:rPr>
      </w:pPr>
    </w:p>
    <w:p w14:paraId="1B32FBB3" w14:textId="77777777" w:rsidR="00EB7815" w:rsidRDefault="00EB7815">
      <w:pPr>
        <w:spacing w:line="240" w:lineRule="auto"/>
        <w:rPr>
          <w:sz w:val="22"/>
          <w:lang w:val="ru-RU"/>
        </w:rPr>
      </w:pPr>
    </w:p>
    <w:p w14:paraId="0E4CECB9" w14:textId="4A36E2B7" w:rsidR="00DD641D" w:rsidRPr="00EB7815" w:rsidRDefault="00000000">
      <w:pPr>
        <w:spacing w:line="240" w:lineRule="auto"/>
        <w:rPr>
          <w:lang w:val="ru-RU"/>
        </w:rPr>
      </w:pPr>
      <w:r>
        <w:rPr>
          <w:sz w:val="22"/>
        </w:rPr>
        <w:t>Citation</w:t>
      </w:r>
      <w:r w:rsidRPr="00EB7815">
        <w:rPr>
          <w:sz w:val="22"/>
        </w:rPr>
        <w:t xml:space="preserve">: </w:t>
      </w:r>
      <w:r w:rsidR="00EB7815" w:rsidRPr="00EB7815">
        <w:rPr>
          <w:sz w:val="22"/>
        </w:rPr>
        <w:t>Schettler LM, Thomasius R, Paschke K. Emotional dysregulation predicts problematic gaming in children and youths: a cross-sectional and longitudinal approach. Eur Child Adolesc Psychiatry. 2024 Feb;33(2):605-616. doi: 10.1007/s00787-023-02184-x. Epub 2023 Mar 18. PMID: 36932230; PMCID: PMC10023309.</w:t>
      </w:r>
    </w:p>
    <w:p w14:paraId="3822223D" w14:textId="77777777" w:rsidR="00DD641D" w:rsidRPr="00EB7815" w:rsidRDefault="00000000">
      <w:pPr>
        <w:pStyle w:val="1"/>
        <w:spacing w:before="0" w:after="160"/>
        <w:rPr>
          <w:lang w:val="ru-RU"/>
        </w:rPr>
      </w:pPr>
      <w:r w:rsidRPr="00EB7815">
        <w:rPr>
          <w:b w:val="0"/>
          <w:lang w:val="ru-RU"/>
        </w:rPr>
        <w:t>Эмоциональная дизрегуляция выступает предиктором проблемного игрового поведения у детей и подростков: кросс-секционный и лонгитюдный подход</w:t>
      </w:r>
    </w:p>
    <w:p w14:paraId="10885E5F" w14:textId="77777777" w:rsidR="00DD641D" w:rsidRDefault="00000000">
      <w:pPr>
        <w:spacing w:line="240" w:lineRule="auto"/>
      </w:pPr>
      <w:r>
        <w:rPr>
          <w:i/>
          <w:sz w:val="22"/>
        </w:rPr>
        <w:t>Leonie Marie Schettler, Rainer Thomasius, Kerstin Paschke</w:t>
      </w:r>
    </w:p>
    <w:p w14:paraId="5A991EAE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Аннотация</w:t>
      </w:r>
    </w:p>
    <w:p w14:paraId="3F3ACD95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С одной стороны, подростки характеризуются высокой уязвимостью к формированию аддиктивных игровых паттернов, а с другой - незрелые способности регуляции эмоций (</w:t>
      </w:r>
      <w:r>
        <w:t>ER</w:t>
      </w:r>
      <w:r w:rsidRPr="00EB7815">
        <w:rPr>
          <w:lang w:val="ru-RU"/>
        </w:rPr>
        <w:t xml:space="preserve">) выступают фактором риска психических расстройств. Мы исследовали предиктивную значимость трудностей </w:t>
      </w:r>
      <w:r>
        <w:t>ER</w:t>
      </w:r>
      <w:r w:rsidRPr="00EB7815">
        <w:rPr>
          <w:lang w:val="ru-RU"/>
        </w:rPr>
        <w:t xml:space="preserve"> для проблемного игрового поведения (</w:t>
      </w:r>
      <w:r>
        <w:t>PG</w:t>
      </w:r>
      <w:r w:rsidRPr="00EB7815">
        <w:rPr>
          <w:lang w:val="ru-RU"/>
        </w:rPr>
        <w:t xml:space="preserve">) с учетом возрастных групп (дети по сравнению с подростками) и пола в кросс-секционном и проспективном дизайне на репрезентативной выборке немецких подростков, обследованных с помощью онлайн-опроса в двух точках измерения с интервалом 14 месяцев. Для прогнозирования игровых паттернов по трудностям </w:t>
      </w:r>
      <w:r>
        <w:t>ER</w:t>
      </w:r>
      <w:r w:rsidRPr="00EB7815">
        <w:rPr>
          <w:lang w:val="ru-RU"/>
        </w:rPr>
        <w:t xml:space="preserve"> с контролем возраста и пола были оценены общие пуассоновские, логистические и мультиномиальные регрессионные модели. Результаты показали, что трудности </w:t>
      </w:r>
      <w:r>
        <w:t>ER</w:t>
      </w:r>
      <w:r w:rsidRPr="00EB7815">
        <w:rPr>
          <w:lang w:val="ru-RU"/>
        </w:rPr>
        <w:t xml:space="preserve"> значимо связаны с </w:t>
      </w:r>
      <w:r>
        <w:t>PG</w:t>
      </w:r>
      <w:r w:rsidRPr="00EB7815">
        <w:rPr>
          <w:lang w:val="ru-RU"/>
        </w:rPr>
        <w:t xml:space="preserve">. Кроме того, анализ подгрупп выявил различия в паттернах </w:t>
      </w:r>
      <w:r>
        <w:t>ER</w:t>
      </w:r>
      <w:r w:rsidRPr="00EB7815">
        <w:rPr>
          <w:lang w:val="ru-RU"/>
        </w:rPr>
        <w:t xml:space="preserve"> у детей и подростков, а также у мальчиков и девочек: у детей более высокие значения </w:t>
      </w:r>
      <w:r>
        <w:t>PG</w:t>
      </w:r>
      <w:r w:rsidRPr="00EB7815">
        <w:rPr>
          <w:lang w:val="ru-RU"/>
        </w:rPr>
        <w:t xml:space="preserve"> были связаны с эмоциональной осознанностью и эмоциональной ясностью, тогда как у подростков - с принятием эмоциональных реакций. Гендерные различия показали, что у мальчиков с </w:t>
      </w:r>
      <w:r>
        <w:t>PG</w:t>
      </w:r>
      <w:r w:rsidRPr="00EB7815">
        <w:rPr>
          <w:lang w:val="ru-RU"/>
        </w:rPr>
        <w:t xml:space="preserve"> было больше дефицитов целенаправленного поведения и эмоциональной осознанности, тогда как у девочек с </w:t>
      </w:r>
      <w:r>
        <w:t>PG</w:t>
      </w:r>
      <w:r w:rsidRPr="00EB7815">
        <w:rPr>
          <w:lang w:val="ru-RU"/>
        </w:rPr>
        <w:t xml:space="preserve"> наблюдались недостаточная эмоциональная ясность и трудности принятия собственных эмоциональных реакций. Примечательно, что прокрастинация была значимым предиктором </w:t>
      </w:r>
      <w:r>
        <w:t>PG</w:t>
      </w:r>
      <w:r w:rsidRPr="00EB7815">
        <w:rPr>
          <w:lang w:val="ru-RU"/>
        </w:rPr>
        <w:t xml:space="preserve"> независимо от подгруппы. Лонгитюдный анализ также показал, что трудности </w:t>
      </w:r>
      <w:r>
        <w:t>ER</w:t>
      </w:r>
      <w:r w:rsidRPr="00EB7815">
        <w:rPr>
          <w:lang w:val="ru-RU"/>
        </w:rPr>
        <w:t xml:space="preserve"> способствовали возникновению </w:t>
      </w:r>
      <w:r>
        <w:t>PG</w:t>
      </w:r>
      <w:r w:rsidRPr="00EB7815">
        <w:rPr>
          <w:lang w:val="ru-RU"/>
        </w:rPr>
        <w:t xml:space="preserve">, тогда как более выраженная прокрастинация поддерживала его </w:t>
      </w:r>
      <w:r w:rsidRPr="00EB7815">
        <w:rPr>
          <w:lang w:val="ru-RU"/>
        </w:rPr>
        <w:lastRenderedPageBreak/>
        <w:t xml:space="preserve">сохранение. Включение прокрастинации, которую можно рассматривать как неадаптивную стратегию </w:t>
      </w:r>
      <w:r>
        <w:t>ER</w:t>
      </w:r>
      <w:r w:rsidRPr="00EB7815">
        <w:rPr>
          <w:lang w:val="ru-RU"/>
        </w:rPr>
        <w:t xml:space="preserve">, позволило получить более широкую картину трудностей </w:t>
      </w:r>
      <w:r>
        <w:t>ER</w:t>
      </w:r>
      <w:r w:rsidRPr="00EB7815">
        <w:rPr>
          <w:lang w:val="ru-RU"/>
        </w:rPr>
        <w:t xml:space="preserve"> как фактора риска </w:t>
      </w:r>
      <w:r>
        <w:t>PG</w:t>
      </w:r>
      <w:r w:rsidRPr="00EB7815">
        <w:rPr>
          <w:lang w:val="ru-RU"/>
        </w:rPr>
        <w:t xml:space="preserve">. Полученные результаты способствуют лучшему пониманию этиологии </w:t>
      </w:r>
      <w:r>
        <w:t>PG</w:t>
      </w:r>
      <w:r w:rsidRPr="00EB7815">
        <w:rPr>
          <w:lang w:val="ru-RU"/>
        </w:rPr>
        <w:t xml:space="preserve"> и разработке адресных профилактических и интервенционных мер.</w:t>
      </w:r>
    </w:p>
    <w:p w14:paraId="4DED94D6" w14:textId="77777777" w:rsidR="00DD641D" w:rsidRPr="00EB7815" w:rsidRDefault="00000000">
      <w:pPr>
        <w:spacing w:after="120"/>
        <w:rPr>
          <w:lang w:val="ru-RU"/>
        </w:rPr>
      </w:pPr>
      <w:r w:rsidRPr="00EB7815">
        <w:rPr>
          <w:lang w:val="ru-RU"/>
        </w:rPr>
        <w:t>Ключевые слова: игровое расстройство; проблемное игровое поведение; подростки; регуляция эмоций; лонгитюдное исследование</w:t>
      </w:r>
    </w:p>
    <w:p w14:paraId="2E73A910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Введение</w:t>
      </w:r>
    </w:p>
    <w:p w14:paraId="2629A40E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Проблемное игровое поведение у подростков</w:t>
      </w:r>
    </w:p>
    <w:p w14:paraId="26876D60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В условиях технологического прогресса последнего десятилетия компьютерные, консольные и мобильные игры стали регулярной частью повседневной жизни многих подростков. В период пандемии </w:t>
      </w:r>
      <w:r>
        <w:t>COVID</w:t>
      </w:r>
      <w:r w:rsidRPr="00EB7815">
        <w:rPr>
          <w:lang w:val="ru-RU"/>
        </w:rPr>
        <w:t>-19 и повторных (частичных) локдаунов, сопровождавшихся закрытием школ и досуговых учреждений, игровое время увеличилось [1, 2]. Большинство подростков использует цифровые игры как форму рекреации без выраженных проблем, однако у части из них чрезмерная игра приводит к серьезным последствиям вследствие формирования аддиктивного поведения, нарушающего учебную, семейную и/или социальную жизнь. Недавний метаанализ при среднем возрасте участников 17,5 года показал, что глобальная распространенность аддиктивного игрового поведения составляет около 3% [3]. Авторы этой работы подчеркивают, что наибольшая распространенность наблюдается именно в подростковом возрасте.</w:t>
      </w:r>
    </w:p>
    <w:p w14:paraId="347BCFDF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Проблемное игровое поведение (</w:t>
      </w:r>
      <w:r>
        <w:t>PG</w:t>
      </w:r>
      <w:r w:rsidRPr="00EB7815">
        <w:rPr>
          <w:lang w:val="ru-RU"/>
        </w:rPr>
        <w:t>) впервые было введено как интернет-игровое расстройство (</w:t>
      </w:r>
      <w:r>
        <w:t>IGD</w:t>
      </w:r>
      <w:r w:rsidRPr="00EB7815">
        <w:rPr>
          <w:lang w:val="ru-RU"/>
        </w:rPr>
        <w:t>), «состояние, требующее дальнейшего изучения», в приложении к пятому изданию «Диагностического и статистического руководства по психическим расстройствам» (</w:t>
      </w:r>
      <w:r>
        <w:t>DSM</w:t>
      </w:r>
      <w:r w:rsidRPr="00EB7815">
        <w:rPr>
          <w:lang w:val="ru-RU"/>
        </w:rPr>
        <w:t xml:space="preserve">-5) в 2013 году [4]. Для постановки </w:t>
      </w:r>
      <w:r>
        <w:t>IGD</w:t>
      </w:r>
      <w:r w:rsidRPr="00EB7815">
        <w:rPr>
          <w:lang w:val="ru-RU"/>
        </w:rPr>
        <w:t xml:space="preserve"> необходимо наличие пяти из девяти диагностических критериев, основанных на патологическом гемблинге и расстройствах, связанных с употреблением психоактивных веществ, в течение предшествующих 12 месяцев. Кроме того, термин игровое расстройство (</w:t>
      </w:r>
      <w:r>
        <w:t>GD</w:t>
      </w:r>
      <w:r w:rsidRPr="00EB7815">
        <w:rPr>
          <w:lang w:val="ru-RU"/>
        </w:rPr>
        <w:t>) недавно был включен в одиннадцатую редакцию Международной классификации болезней (</w:t>
      </w:r>
      <w:r>
        <w:t>ICD</w:t>
      </w:r>
      <w:r w:rsidRPr="00EB7815">
        <w:rPr>
          <w:lang w:val="ru-RU"/>
        </w:rPr>
        <w:t xml:space="preserve">-11) [5]. </w:t>
      </w:r>
      <w:r>
        <w:t>GD</w:t>
      </w:r>
      <w:r w:rsidRPr="00EB7815">
        <w:rPr>
          <w:lang w:val="ru-RU"/>
        </w:rPr>
        <w:t xml:space="preserve"> описывается следующими признаками: (1) утрата контроля над игрой, (2) возрастающее придание игре приоритета и (3) продолжение игры несмотря на негативные последствия; эти проявления должны сохраняться не менее 12 месяцев и приводить к значимым нарушениям в личной, учебной и социальной жизни. Кроме того, для понимания потенциально вредных предшествующих форм </w:t>
      </w:r>
      <w:r>
        <w:t>GD</w:t>
      </w:r>
      <w:r w:rsidRPr="00EB7815">
        <w:rPr>
          <w:lang w:val="ru-RU"/>
        </w:rPr>
        <w:t xml:space="preserve"> в классификацию включено </w:t>
      </w:r>
      <w:r>
        <w:t>hazardous</w:t>
      </w:r>
      <w:r w:rsidRPr="00EB7815">
        <w:rPr>
          <w:lang w:val="ru-RU"/>
        </w:rPr>
        <w:t xml:space="preserve"> </w:t>
      </w:r>
      <w:r>
        <w:t>gaming</w:t>
      </w:r>
      <w:r w:rsidRPr="00EB7815">
        <w:rPr>
          <w:lang w:val="ru-RU"/>
        </w:rPr>
        <w:t xml:space="preserve"> (</w:t>
      </w:r>
      <w:r>
        <w:t>HG</w:t>
      </w:r>
      <w:r w:rsidRPr="00EB7815">
        <w:rPr>
          <w:lang w:val="ru-RU"/>
        </w:rPr>
        <w:t xml:space="preserve">), описывающее поведение группы риска. Концептуализация </w:t>
      </w:r>
      <w:r>
        <w:t>PG</w:t>
      </w:r>
      <w:r w:rsidRPr="00EB7815">
        <w:rPr>
          <w:lang w:val="ru-RU"/>
        </w:rPr>
        <w:t xml:space="preserve"> различается в двух классификационных системах из-за разной значимости симптомов и вытекающих нарушений [6]. Если </w:t>
      </w:r>
      <w:r>
        <w:t>DSM</w:t>
      </w:r>
      <w:r w:rsidRPr="00EB7815">
        <w:rPr>
          <w:lang w:val="ru-RU"/>
        </w:rPr>
        <w:t xml:space="preserve">-5 позволяет проводить более широкий скрининг на популяционном уровне, то </w:t>
      </w:r>
      <w:r>
        <w:t>ICD</w:t>
      </w:r>
      <w:r w:rsidRPr="00EB7815">
        <w:rPr>
          <w:lang w:val="ru-RU"/>
        </w:rPr>
        <w:t xml:space="preserve">-11 обладает более высокой специфичностью и позволяет различать нормальное, рискованное и патологическое игровое поведение [6, 7]. Чтобы учитывать обе дефиниции, в данной работе термин </w:t>
      </w:r>
      <w:r>
        <w:t>PG</w:t>
      </w:r>
      <w:r w:rsidRPr="00EB7815">
        <w:rPr>
          <w:lang w:val="ru-RU"/>
        </w:rPr>
        <w:t xml:space="preserve"> используется как зонтичное обозначение для </w:t>
      </w:r>
      <w:r>
        <w:t>IGD</w:t>
      </w:r>
      <w:r w:rsidRPr="00EB7815">
        <w:rPr>
          <w:lang w:val="ru-RU"/>
        </w:rPr>
        <w:t xml:space="preserve"> и </w:t>
      </w:r>
      <w:r>
        <w:t>GD</w:t>
      </w:r>
      <w:r w:rsidRPr="00EB7815">
        <w:rPr>
          <w:lang w:val="ru-RU"/>
        </w:rPr>
        <w:t>.</w:t>
      </w:r>
    </w:p>
    <w:p w14:paraId="0CE2693E" w14:textId="77777777" w:rsidR="00DD641D" w:rsidRPr="00EB7815" w:rsidRDefault="00000000">
      <w:pPr>
        <w:spacing w:after="120"/>
        <w:ind w:firstLine="425"/>
        <w:rPr>
          <w:lang w:val="ru-RU"/>
        </w:rPr>
      </w:pPr>
      <w:r>
        <w:t>PG</w:t>
      </w:r>
      <w:r w:rsidRPr="00EB7815">
        <w:rPr>
          <w:lang w:val="ru-RU"/>
        </w:rPr>
        <w:t xml:space="preserve"> имеет сложную этиологию, и уже был выявлен широкий спектр биологических, психологических, семейных и иных средовых факторов риска [8-10]. Что касается пола, </w:t>
      </w:r>
      <w:r w:rsidRPr="00EB7815">
        <w:rPr>
          <w:lang w:val="ru-RU"/>
        </w:rPr>
        <w:lastRenderedPageBreak/>
        <w:t xml:space="preserve">возникновение </w:t>
      </w:r>
      <w:r>
        <w:t>PG</w:t>
      </w:r>
      <w:r w:rsidRPr="00EB7815">
        <w:rPr>
          <w:lang w:val="ru-RU"/>
        </w:rPr>
        <w:t xml:space="preserve"> существенно связано с мужским полом [8, 9]. Влияние возраста в подростковом периоде на </w:t>
      </w:r>
      <w:r>
        <w:t>PG</w:t>
      </w:r>
      <w:r w:rsidRPr="00EB7815">
        <w:rPr>
          <w:lang w:val="ru-RU"/>
        </w:rPr>
        <w:t xml:space="preserve"> остается неясным, отчасти из-за того, что среди детей было проведено мало исследований [9]. Особенно высокому риску </w:t>
      </w:r>
      <w:r>
        <w:t>PG</w:t>
      </w:r>
      <w:r w:rsidRPr="00EB7815">
        <w:rPr>
          <w:lang w:val="ru-RU"/>
        </w:rPr>
        <w:t xml:space="preserve"> подвержены подростки с высоким уровнем семейных конфликтов и менее благополучными отношениями [8, 11]. В связи с этим уход в мир игр может выступать дисфункциональной стратегией совладания, направленной на смягчение негативных переживаний и стрессовых ситуаций [12, 13].</w:t>
      </w:r>
    </w:p>
    <w:p w14:paraId="64EC3115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Регуляция эмоций</w:t>
      </w:r>
    </w:p>
    <w:p w14:paraId="5423F05C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Концепция регуляции эмоций и ее связь с психопатологией в последние годы активно исследуются [14-16]. </w:t>
      </w:r>
      <w:r>
        <w:t>Tull</w:t>
      </w:r>
      <w:r w:rsidRPr="00EB7815">
        <w:rPr>
          <w:lang w:val="ru-RU"/>
        </w:rPr>
        <w:t xml:space="preserve"> и </w:t>
      </w:r>
      <w:r>
        <w:t>Aldao</w:t>
      </w:r>
      <w:r w:rsidRPr="00EB7815">
        <w:rPr>
          <w:lang w:val="ru-RU"/>
        </w:rPr>
        <w:t xml:space="preserve"> разграничивают способности и стратегии регуляции эмоций [17]. Способность распознавать, понимать и регулировать собственные эмоции рассматривается как диспозициональная характеристика и описывает типичный для человека способ переживания эмоций. Таким образом, она главным образом отражает общий регуляторный потенциал человека, тогда как стратегии регуляции эмоций, такие как когнитивная переоценка, подавление или прокрастинация, относятся к конкретным поведенческим действиям, которые активно влияют на переживание или выражение эмоций и могут непосредственно выступать мишенью психотерапии [18]. Неадаптивная стратегия прокрастинации описывает откладывание необходимых или важных действий, даже несмотря на то, что отсрочка этих обязанностей приводит к негативным последствиям [19], и рассматривается как сбой саморегуляторных компетенций [20]. Современные данные указывают на то, что общая склонность человека к прокрастинации является относительно стабильной чертой, хотя контекстуальные факторы могут влиять на степень ее выраженности [21]. Соответственно, трудности регуляции эмоций связаны с психическими расстройствами, включая поведенческие аддикции [22, 23].</w:t>
      </w:r>
    </w:p>
    <w:p w14:paraId="01C8CB53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Развитие регуляции эмоций продолжается вплоть до ранней взрослости [24, 25]. Вопреки линейному представлению о том, что эффективность навыков регуляции эмоций увеличивается с возрастом, современные исследования предполагают наличие выраженной реорганизации регуляции эмоций в подростковом возрасте с более частым использованием неадаптивных стратегий [25-27]. Эти данные подчеркивают серьезные трудности, с которыми подростки сталкиваются в период пубертата - критический этап развития, связанный с высокой уязвимостью к психическим расстройствам в целом [24]. Кроме того, нейробиологические данные указывают на то, что незрелость префронтальных и лимбических областей способствует недостаточной регуляции эмоций и поэтому может усиливать влияние конфликтующих эмоций на процессы принятия решений [24].</w:t>
      </w:r>
    </w:p>
    <w:p w14:paraId="0F2CD0B9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Проблемное игровое поведение и регуляция эмоций</w:t>
      </w:r>
    </w:p>
    <w:p w14:paraId="45500B1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Кросс-секционные исследования показали наличие связи между эмоциональной дизрегуляцией и </w:t>
      </w:r>
      <w:r>
        <w:t>PG</w:t>
      </w:r>
      <w:r w:rsidRPr="00EB7815">
        <w:rPr>
          <w:lang w:val="ru-RU"/>
        </w:rPr>
        <w:t xml:space="preserve"> у подростков [23, 28-31]. Что касается неадаптивной стратегии </w:t>
      </w:r>
      <w:r>
        <w:t>ER</w:t>
      </w:r>
      <w:r w:rsidRPr="00EB7815">
        <w:rPr>
          <w:lang w:val="ru-RU"/>
        </w:rPr>
        <w:t xml:space="preserve"> - прокрастинации, имеются данные о положительной связи между высоким уровнем прокрастинации и клинической выраженностью </w:t>
      </w:r>
      <w:r>
        <w:t>PG</w:t>
      </w:r>
      <w:r w:rsidRPr="00EB7815">
        <w:rPr>
          <w:lang w:val="ru-RU"/>
        </w:rPr>
        <w:t xml:space="preserve"> у молодых взрослых [32]. Первые лонгитюдные исследования указывают на то, что трудности </w:t>
      </w:r>
      <w:r>
        <w:t>ER</w:t>
      </w:r>
      <w:r w:rsidRPr="00EB7815">
        <w:rPr>
          <w:lang w:val="ru-RU"/>
        </w:rPr>
        <w:t xml:space="preserve"> могут выступать предиктором </w:t>
      </w:r>
      <w:r>
        <w:t>PG</w:t>
      </w:r>
      <w:r w:rsidRPr="00EB7815">
        <w:rPr>
          <w:lang w:val="ru-RU"/>
        </w:rPr>
        <w:t xml:space="preserve"> [33-35].</w:t>
      </w:r>
    </w:p>
    <w:p w14:paraId="2AC5956C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lastRenderedPageBreak/>
        <w:t xml:space="preserve">Однако перечисленные исследования имеют ряд ограничений. Во-первых, их сопоставимость и обобщаемость ограничены из-за различающихся определений </w:t>
      </w:r>
      <w:r>
        <w:t>PG</w:t>
      </w:r>
      <w:r w:rsidRPr="00EB7815">
        <w:rPr>
          <w:lang w:val="ru-RU"/>
        </w:rPr>
        <w:t xml:space="preserve">, не включающих все диагностические критерии </w:t>
      </w:r>
      <w:r>
        <w:t>DSM</w:t>
      </w:r>
      <w:r w:rsidRPr="00EB7815">
        <w:rPr>
          <w:lang w:val="ru-RU"/>
        </w:rPr>
        <w:t xml:space="preserve">-5 или </w:t>
      </w:r>
      <w:r>
        <w:t>ICD</w:t>
      </w:r>
      <w:r w:rsidRPr="00EB7815">
        <w:rPr>
          <w:lang w:val="ru-RU"/>
        </w:rPr>
        <w:t xml:space="preserve">-11 [23, 28, 31-33], а также из-за того, что только в одном исследовании изучалась репрезентативная выборка [31]. Кроме того, оценка </w:t>
      </w:r>
      <w:r>
        <w:t>ER</w:t>
      </w:r>
      <w:r w:rsidRPr="00EB7815">
        <w:rPr>
          <w:lang w:val="ru-RU"/>
        </w:rPr>
        <w:t xml:space="preserve"> не учитывает различение способностей и стратегий </w:t>
      </w:r>
      <w:r>
        <w:t>ER</w:t>
      </w:r>
      <w:r w:rsidRPr="00EB7815">
        <w:rPr>
          <w:lang w:val="ru-RU"/>
        </w:rPr>
        <w:t xml:space="preserve">, предложенное </w:t>
      </w:r>
      <w:r>
        <w:t>Tull</w:t>
      </w:r>
      <w:r w:rsidRPr="00EB7815">
        <w:rPr>
          <w:lang w:val="ru-RU"/>
        </w:rPr>
        <w:t xml:space="preserve"> и </w:t>
      </w:r>
      <w:r>
        <w:t>Amendola</w:t>
      </w:r>
      <w:r w:rsidRPr="00EB7815">
        <w:rPr>
          <w:lang w:val="ru-RU"/>
        </w:rPr>
        <w:t xml:space="preserve"> (2015), и потому не охватывает этот конструкт во всей его сложности [30, 31, 34]. Среди детей и подростков современные исследования подтверждают связь между прокрастинацией и проблемным использованием социальных сетей или интернета [36-38]. Насколько нам известно, прокрастинация и ее специфическая связь с </w:t>
      </w:r>
      <w:r>
        <w:t>PG</w:t>
      </w:r>
      <w:r w:rsidRPr="00EB7815">
        <w:rPr>
          <w:lang w:val="ru-RU"/>
        </w:rPr>
        <w:t xml:space="preserve"> у подростков ранее не изучались. Также отсутствуют дифференцированные анализы </w:t>
      </w:r>
      <w:r>
        <w:t>ER</w:t>
      </w:r>
      <w:r w:rsidRPr="00EB7815">
        <w:rPr>
          <w:lang w:val="ru-RU"/>
        </w:rPr>
        <w:t xml:space="preserve"> и </w:t>
      </w:r>
      <w:r>
        <w:t>PG</w:t>
      </w:r>
      <w:r w:rsidRPr="00EB7815">
        <w:rPr>
          <w:lang w:val="ru-RU"/>
        </w:rPr>
        <w:t>, которые учитывали бы возрастные группы подростков (старшие дети по сравнению с подростками), пол, а также динамику игровых паттернов во времени.</w:t>
      </w:r>
    </w:p>
    <w:p w14:paraId="79020894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Настоящее исследование</w:t>
      </w:r>
    </w:p>
    <w:p w14:paraId="5E10066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С точки зрения развития остается открытым вопрос, какие именно аспекты </w:t>
      </w:r>
      <w:r>
        <w:t>ER</w:t>
      </w:r>
      <w:r w:rsidRPr="00EB7815">
        <w:rPr>
          <w:lang w:val="ru-RU"/>
        </w:rPr>
        <w:t xml:space="preserve"> способствуют возникновению или поддержанию </w:t>
      </w:r>
      <w:r>
        <w:t>PG</w:t>
      </w:r>
      <w:r w:rsidRPr="00EB7815">
        <w:rPr>
          <w:lang w:val="ru-RU"/>
        </w:rPr>
        <w:t xml:space="preserve"> и его проявлений в виде рискованного или расстроенного игрового поведения в подростковом возрасте. Настоящее исследование было направлено на устранение существенного пробела в понимании трудностей </w:t>
      </w:r>
      <w:r>
        <w:t>ER</w:t>
      </w:r>
      <w:r w:rsidRPr="00EB7815">
        <w:rPr>
          <w:lang w:val="ru-RU"/>
        </w:rPr>
        <w:t xml:space="preserve"> и </w:t>
      </w:r>
      <w:r>
        <w:t>PG</w:t>
      </w:r>
      <w:r w:rsidRPr="00EB7815">
        <w:rPr>
          <w:lang w:val="ru-RU"/>
        </w:rPr>
        <w:t xml:space="preserve"> в критической возрастной группе. Впервые на репрезентативной выборке старших детей (10-13 лет) и подростков (14-17 лет) были изучены симптомы </w:t>
      </w:r>
      <w:r>
        <w:t>PG</w:t>
      </w:r>
      <w:r w:rsidRPr="00EB7815">
        <w:rPr>
          <w:lang w:val="ru-RU"/>
        </w:rPr>
        <w:t xml:space="preserve"> на основе стандартизированных критериев </w:t>
      </w:r>
      <w:r>
        <w:t>DSM</w:t>
      </w:r>
      <w:r w:rsidRPr="00EB7815">
        <w:rPr>
          <w:lang w:val="ru-RU"/>
        </w:rPr>
        <w:t>-5/</w:t>
      </w:r>
      <w:r>
        <w:t>ICD</w:t>
      </w:r>
      <w:r w:rsidRPr="00EB7815">
        <w:rPr>
          <w:lang w:val="ru-RU"/>
        </w:rPr>
        <w:t xml:space="preserve">-11 и способности </w:t>
      </w:r>
      <w:r>
        <w:t>ER</w:t>
      </w:r>
      <w:r w:rsidRPr="00EB7815">
        <w:rPr>
          <w:lang w:val="ru-RU"/>
        </w:rPr>
        <w:t xml:space="preserve"> с кросс-секционной и проспективной точек зрения. Для лучшего понимания факторов риска и выявления потенциальных мишеней индивидуализированной профилактики и лечения учитывались различные стратегии </w:t>
      </w:r>
      <w:r>
        <w:t>ER</w:t>
      </w:r>
      <w:r w:rsidRPr="00EB7815">
        <w:rPr>
          <w:lang w:val="ru-RU"/>
        </w:rPr>
        <w:t>, влияние возраста и пола, а также развитие разных игровых паттернов во времени.</w:t>
      </w:r>
    </w:p>
    <w:p w14:paraId="27D1B7BE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Материалы и методы</w:t>
      </w:r>
    </w:p>
    <w:p w14:paraId="3382BB35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Участники и процедура</w:t>
      </w:r>
    </w:p>
    <w:p w14:paraId="3954A929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Настоящее исследование было частью крупного репрезентативного онлайн-опроса, посвященного использованию цифровых медиа подростками, и проводилось с помощью известной немецкой компании по изучению рынка и общественного мнения </w:t>
      </w:r>
      <w:r>
        <w:t>forsa</w:t>
      </w:r>
      <w:r w:rsidRPr="00EB7815">
        <w:rPr>
          <w:lang w:val="ru-RU"/>
        </w:rPr>
        <w:t xml:space="preserve"> в сентябре 2019 года и ноябре 2020 года. Изначально по электронной почте были приглашены 23 716 взрослых в возрасте от 28 до 75 лет; ответили 12 427 человек. В 1733 домохозяйствах сообщили о наличии детей в возрасте от 10 до 17 лет. После приглашения к участию 1221 подросток согласился участвовать в исследовании и заполнил опросники в первой точке измерения. В последующем обследовании приняли участие 659 из них. По возрасту, полу и региону проживания выборка была репрезентативной. Были выделены две возрастные группы подростков на основе немецкого социального кодекса («</w:t>
      </w:r>
      <w:r>
        <w:t>Sozialgesetzbuch</w:t>
      </w:r>
      <w:r w:rsidRPr="00EB7815">
        <w:rPr>
          <w:lang w:val="ru-RU"/>
        </w:rPr>
        <w:t xml:space="preserve">»), определяющего детей как лиц младше 14 лет, а подростков - как лиц младше 18 лет [39]. Все подростки и их законные представители дали информированное согласие до участия и могли прекратить участие в любой момент. Вознаграждение не предоставлялось. Среднее общее время заполнения всех опросников, включая перерывы, составило 26 минут. Исследование проводилось в соответствии с национальными и международными этическими нормами, </w:t>
      </w:r>
      <w:r w:rsidRPr="00EB7815">
        <w:rPr>
          <w:lang w:val="ru-RU"/>
        </w:rPr>
        <w:lastRenderedPageBreak/>
        <w:t xml:space="preserve">включая положения Хельсинкской декларации. Разрешение было получено у </w:t>
      </w:r>
      <w:r>
        <w:t>Local</w:t>
      </w:r>
      <w:r w:rsidRPr="00EB7815">
        <w:rPr>
          <w:lang w:val="ru-RU"/>
        </w:rPr>
        <w:t xml:space="preserve"> </w:t>
      </w:r>
      <w:r>
        <w:t>Psychological</w:t>
      </w:r>
      <w:r w:rsidRPr="00EB7815">
        <w:rPr>
          <w:lang w:val="ru-RU"/>
        </w:rPr>
        <w:t xml:space="preserve"> </w:t>
      </w:r>
      <w:r>
        <w:t>Ethics</w:t>
      </w:r>
      <w:r w:rsidRPr="00EB7815">
        <w:rPr>
          <w:lang w:val="ru-RU"/>
        </w:rPr>
        <w:t xml:space="preserve"> </w:t>
      </w:r>
      <w:r>
        <w:t>Commission</w:t>
      </w:r>
      <w:r w:rsidRPr="00EB7815">
        <w:rPr>
          <w:lang w:val="ru-RU"/>
        </w:rPr>
        <w:t xml:space="preserve"> </w:t>
      </w:r>
      <w:r>
        <w:t>at</w:t>
      </w:r>
      <w:r w:rsidRPr="00EB7815">
        <w:rPr>
          <w:lang w:val="ru-RU"/>
        </w:rPr>
        <w:t xml:space="preserve"> </w:t>
      </w:r>
      <w:r>
        <w:t>the</w:t>
      </w:r>
      <w:r w:rsidRPr="00EB7815">
        <w:rPr>
          <w:lang w:val="ru-RU"/>
        </w:rPr>
        <w:t xml:space="preserve"> </w:t>
      </w:r>
      <w:r>
        <w:t>Center</w:t>
      </w:r>
      <w:r w:rsidRPr="00EB7815">
        <w:rPr>
          <w:lang w:val="ru-RU"/>
        </w:rPr>
        <w:t xml:space="preserve"> </w:t>
      </w:r>
      <w:r>
        <w:t>for</w:t>
      </w:r>
      <w:r w:rsidRPr="00EB7815">
        <w:rPr>
          <w:lang w:val="ru-RU"/>
        </w:rPr>
        <w:t xml:space="preserve"> </w:t>
      </w:r>
      <w:r>
        <w:t>Psychosocial</w:t>
      </w:r>
      <w:r w:rsidRPr="00EB7815">
        <w:rPr>
          <w:lang w:val="ru-RU"/>
        </w:rPr>
        <w:t xml:space="preserve"> </w:t>
      </w:r>
      <w:r>
        <w:t>Medicine</w:t>
      </w:r>
      <w:r w:rsidRPr="00EB7815">
        <w:rPr>
          <w:lang w:val="ru-RU"/>
        </w:rPr>
        <w:t xml:space="preserve"> (</w:t>
      </w:r>
      <w:r>
        <w:t>LPEK</w:t>
      </w:r>
      <w:r w:rsidRPr="00EB7815">
        <w:rPr>
          <w:lang w:val="ru-RU"/>
        </w:rPr>
        <w:t>) Университетского медицинского центра Гамбург-Эппендорф (</w:t>
      </w:r>
      <w:r>
        <w:t>UKE</w:t>
      </w:r>
      <w:r w:rsidRPr="00EB7815">
        <w:rPr>
          <w:lang w:val="ru-RU"/>
        </w:rPr>
        <w:t>).</w:t>
      </w:r>
    </w:p>
    <w:p w14:paraId="7FEA599D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Методы</w:t>
      </w:r>
    </w:p>
    <w:p w14:paraId="5C7CE66D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Проблемное игровое поведение</w:t>
      </w:r>
    </w:p>
    <w:p w14:paraId="3EA0D05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Для оценки симптомов </w:t>
      </w:r>
      <w:r>
        <w:t>PG</w:t>
      </w:r>
      <w:r w:rsidRPr="00EB7815">
        <w:rPr>
          <w:lang w:val="ru-RU"/>
        </w:rPr>
        <w:t xml:space="preserve"> у подростков в базовой выборке использовалась шкала </w:t>
      </w:r>
      <w:r>
        <w:t>Internet</w:t>
      </w:r>
      <w:r w:rsidRPr="00EB7815">
        <w:rPr>
          <w:lang w:val="ru-RU"/>
        </w:rPr>
        <w:t xml:space="preserve"> </w:t>
      </w:r>
      <w:r>
        <w:t>Gaming</w:t>
      </w:r>
      <w:r w:rsidRPr="00EB7815">
        <w:rPr>
          <w:lang w:val="ru-RU"/>
        </w:rPr>
        <w:t xml:space="preserve"> </w:t>
      </w:r>
      <w:r>
        <w:t>Disorder</w:t>
      </w:r>
      <w:r w:rsidRPr="00EB7815">
        <w:rPr>
          <w:lang w:val="ru-RU"/>
        </w:rPr>
        <w:t xml:space="preserve"> </w:t>
      </w:r>
      <w:r>
        <w:t>Scale</w:t>
      </w:r>
      <w:r w:rsidRPr="00EB7815">
        <w:rPr>
          <w:lang w:val="ru-RU"/>
        </w:rPr>
        <w:t xml:space="preserve"> (</w:t>
      </w:r>
      <w:r>
        <w:t>IGDS</w:t>
      </w:r>
      <w:r w:rsidRPr="00EB7815">
        <w:rPr>
          <w:lang w:val="ru-RU"/>
        </w:rPr>
        <w:t xml:space="preserve">) Лемменса и соавт. [40], основанная на критериях </w:t>
      </w:r>
      <w:r>
        <w:t>DSM</w:t>
      </w:r>
      <w:r w:rsidRPr="00EB7815">
        <w:rPr>
          <w:lang w:val="ru-RU"/>
        </w:rPr>
        <w:t xml:space="preserve">-5 для </w:t>
      </w:r>
      <w:r>
        <w:t>IGD</w:t>
      </w:r>
      <w:r w:rsidRPr="00EB7815">
        <w:rPr>
          <w:lang w:val="ru-RU"/>
        </w:rPr>
        <w:t xml:space="preserve"> [40]. Шкала включает девять вопросов с бинарными вариантами ответа (0 = «нет», 1 = «да»); порог патологического игрового поведения достигался при наборе пяти и более баллов. Соответственно, более высокие значения </w:t>
      </w:r>
      <w:r>
        <w:t>IGDS</w:t>
      </w:r>
      <w:r w:rsidRPr="00EB7815">
        <w:rPr>
          <w:lang w:val="ru-RU"/>
        </w:rPr>
        <w:t xml:space="preserve"> указывали на более выраженное </w:t>
      </w:r>
      <w:r>
        <w:t>PG</w:t>
      </w:r>
      <w:r w:rsidRPr="00EB7815">
        <w:rPr>
          <w:lang w:val="ru-RU"/>
        </w:rPr>
        <w:t xml:space="preserve">. Ранее этот опросник неоднократно применялся у немецких подростков и продемонстрировал общую пригодность и валидность для выявления </w:t>
      </w:r>
      <w:r>
        <w:t>IGD</w:t>
      </w:r>
      <w:r w:rsidRPr="00EB7815">
        <w:rPr>
          <w:lang w:val="ru-RU"/>
        </w:rPr>
        <w:t xml:space="preserve"> в этой возрастной группе на популяционном уровне [39]. В базовой выборке коэффициент альфа Кронбаха для </w:t>
      </w:r>
      <w:r>
        <w:t>IGDS</w:t>
      </w:r>
      <w:r w:rsidRPr="00EB7815">
        <w:rPr>
          <w:lang w:val="ru-RU"/>
        </w:rPr>
        <w:t xml:space="preserve"> составил 0,85, что указывает на хорошую внутреннюю согласованность.</w:t>
      </w:r>
    </w:p>
    <w:p w14:paraId="3A64A2C5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Для оценки </w:t>
      </w:r>
      <w:r>
        <w:t>PG</w:t>
      </w:r>
      <w:r w:rsidRPr="00EB7815">
        <w:rPr>
          <w:lang w:val="ru-RU"/>
        </w:rPr>
        <w:t xml:space="preserve"> на основе критериев </w:t>
      </w:r>
      <w:r>
        <w:t>ICD</w:t>
      </w:r>
      <w:r w:rsidRPr="00EB7815">
        <w:rPr>
          <w:lang w:val="ru-RU"/>
        </w:rPr>
        <w:t xml:space="preserve">-11 для </w:t>
      </w:r>
      <w:r>
        <w:t>GD</w:t>
      </w:r>
      <w:r w:rsidRPr="00EB7815">
        <w:rPr>
          <w:lang w:val="ru-RU"/>
        </w:rPr>
        <w:t xml:space="preserve"> и </w:t>
      </w:r>
      <w:r>
        <w:t>HG</w:t>
      </w:r>
      <w:r w:rsidRPr="00EB7815">
        <w:rPr>
          <w:lang w:val="ru-RU"/>
        </w:rPr>
        <w:t xml:space="preserve"> [6] использовалась шкала </w:t>
      </w:r>
      <w:r>
        <w:t>Gaming</w:t>
      </w:r>
      <w:r w:rsidRPr="00EB7815">
        <w:rPr>
          <w:lang w:val="ru-RU"/>
        </w:rPr>
        <w:t xml:space="preserve"> </w:t>
      </w:r>
      <w:r>
        <w:t>Disorder</w:t>
      </w:r>
      <w:r w:rsidRPr="00EB7815">
        <w:rPr>
          <w:lang w:val="ru-RU"/>
        </w:rPr>
        <w:t xml:space="preserve"> </w:t>
      </w:r>
      <w:r>
        <w:t>Scale</w:t>
      </w:r>
      <w:r w:rsidRPr="00EB7815">
        <w:rPr>
          <w:lang w:val="ru-RU"/>
        </w:rPr>
        <w:t xml:space="preserve"> </w:t>
      </w:r>
      <w:r>
        <w:t>for</w:t>
      </w:r>
      <w:r w:rsidRPr="00EB7815">
        <w:rPr>
          <w:lang w:val="ru-RU"/>
        </w:rPr>
        <w:t xml:space="preserve"> </w:t>
      </w:r>
      <w:r>
        <w:t>Adolescents</w:t>
      </w:r>
      <w:r w:rsidRPr="00EB7815">
        <w:rPr>
          <w:lang w:val="ru-RU"/>
        </w:rPr>
        <w:t xml:space="preserve"> (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), разработанная </w:t>
      </w:r>
      <w:r>
        <w:t>Paschke</w:t>
      </w:r>
      <w:r w:rsidRPr="00EB7815">
        <w:rPr>
          <w:lang w:val="ru-RU"/>
        </w:rPr>
        <w:t xml:space="preserve"> и соавт. [6]. Она включает два фактора - когнитивно-поведенческие симптомы и негативные последствия - в сочетании с временным критерием. Опросник состоял из девяти утверждений о симптоматике с ответами по пятибалльной шкале Лайкерта (0 = «полностью не согласен» - 4 = «полностью согласен»). Дополнительный пункт - временной критерий - оценивал частоту симптомов с помощью четырех вариантов ответа (0 = «совсем нет» - 3 = «почти ежедневно»). </w:t>
      </w:r>
      <w:r>
        <w:t>GD</w:t>
      </w:r>
      <w:r w:rsidRPr="00EB7815">
        <w:rPr>
          <w:lang w:val="ru-RU"/>
        </w:rPr>
        <w:t xml:space="preserve"> предполагалось при достижении пороговых значений по обоим факторам и выполнении временного критерия. Если же временной критерий и/или порог по негативным последствиям не достигались, фиксировалось </w:t>
      </w:r>
      <w:r>
        <w:t>HG</w:t>
      </w:r>
      <w:r w:rsidRPr="00EB7815">
        <w:rPr>
          <w:lang w:val="ru-RU"/>
        </w:rPr>
        <w:t xml:space="preserve"> [6]. Значения альфа Кронбаха 0,93 в выборке последующего обследования (фактор 1 «когнитивно-поведенческие симптомы» = 0,89; фактор 2 «негативные последствия» = 0,90) указывали на превосходную внутреннюю согласованность.</w:t>
      </w:r>
    </w:p>
    <w:p w14:paraId="41C5364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Динамика игровых паттернов между двумя точками измерения описывалась четырьмя категориями: (1) отсутствие или непроблемное игровое поведение (</w:t>
      </w:r>
      <w:r>
        <w:t>IGDS</w:t>
      </w:r>
      <w:r w:rsidRPr="00EB7815">
        <w:rPr>
          <w:lang w:val="ru-RU"/>
        </w:rPr>
        <w:t xml:space="preserve"> &lt; порога на исходном этапе и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&lt; порогов при последующем обследовании); (2) ремиссия </w:t>
      </w:r>
      <w:r>
        <w:t>PG</w:t>
      </w:r>
      <w:r w:rsidRPr="00EB7815">
        <w:rPr>
          <w:lang w:val="ru-RU"/>
        </w:rPr>
        <w:t xml:space="preserve"> (</w:t>
      </w:r>
      <w:r>
        <w:t>IGDS</w:t>
      </w:r>
      <w:r w:rsidRPr="00EB7815">
        <w:rPr>
          <w:lang w:val="ru-RU"/>
        </w:rPr>
        <w:t xml:space="preserve"> &gt;= порога на исходном этапе и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&lt; порогов при последующем обследовании); (3) устойчивое </w:t>
      </w:r>
      <w:r>
        <w:t>PG</w:t>
      </w:r>
      <w:r w:rsidRPr="00EB7815">
        <w:rPr>
          <w:lang w:val="ru-RU"/>
        </w:rPr>
        <w:t xml:space="preserve"> (</w:t>
      </w:r>
      <w:r>
        <w:t>IGDS</w:t>
      </w:r>
      <w:r w:rsidRPr="00EB7815">
        <w:rPr>
          <w:lang w:val="ru-RU"/>
        </w:rPr>
        <w:t xml:space="preserve"> &gt;= порога на исходном этапе и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&gt;= порогов при последующем обследовании); (4) новое </w:t>
      </w:r>
      <w:r>
        <w:t>PG</w:t>
      </w:r>
      <w:r w:rsidRPr="00EB7815">
        <w:rPr>
          <w:lang w:val="ru-RU"/>
        </w:rPr>
        <w:t xml:space="preserve"> (</w:t>
      </w:r>
      <w:r>
        <w:t>IGDS</w:t>
      </w:r>
      <w:r w:rsidRPr="00EB7815">
        <w:rPr>
          <w:lang w:val="ru-RU"/>
        </w:rPr>
        <w:t xml:space="preserve"> &lt; порога на исходном этапе и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&gt;= порогов при последующем обследовании).</w:t>
      </w:r>
    </w:p>
    <w:p w14:paraId="45BF61E2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Эмоциональная дизрегуляция</w:t>
      </w:r>
    </w:p>
    <w:p w14:paraId="5A1B081F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Эмоциональная дизрегуляция оценивалась с помощью краткой формы шкалы </w:t>
      </w:r>
      <w:r>
        <w:t>Difficulties</w:t>
      </w:r>
      <w:r w:rsidRPr="00EB7815">
        <w:rPr>
          <w:lang w:val="ru-RU"/>
        </w:rPr>
        <w:t xml:space="preserve"> </w:t>
      </w:r>
      <w:r>
        <w:t>in</w:t>
      </w:r>
      <w:r w:rsidRPr="00EB7815">
        <w:rPr>
          <w:lang w:val="ru-RU"/>
        </w:rPr>
        <w:t xml:space="preserve"> </w:t>
      </w:r>
      <w:r>
        <w:t>Emotional</w:t>
      </w:r>
      <w:r w:rsidRPr="00EB7815">
        <w:rPr>
          <w:lang w:val="ru-RU"/>
        </w:rPr>
        <w:t xml:space="preserve"> </w:t>
      </w:r>
      <w:r>
        <w:t>Regulation</w:t>
      </w:r>
      <w:r w:rsidRPr="00EB7815">
        <w:rPr>
          <w:lang w:val="ru-RU"/>
        </w:rPr>
        <w:t xml:space="preserve"> </w:t>
      </w:r>
      <w:r>
        <w:t>Scale</w:t>
      </w:r>
      <w:r w:rsidRPr="00EB7815">
        <w:rPr>
          <w:lang w:val="ru-RU"/>
        </w:rPr>
        <w:t xml:space="preserve"> (</w:t>
      </w:r>
      <w:r>
        <w:t>DERS</w:t>
      </w:r>
      <w:r w:rsidRPr="00EB7815">
        <w:rPr>
          <w:lang w:val="ru-RU"/>
        </w:rPr>
        <w:t>-</w:t>
      </w:r>
      <w:r>
        <w:t>SF</w:t>
      </w:r>
      <w:r w:rsidRPr="00EB7815">
        <w:rPr>
          <w:lang w:val="ru-RU"/>
        </w:rPr>
        <w:t xml:space="preserve">) </w:t>
      </w:r>
      <w:r>
        <w:t>Kaufman</w:t>
      </w:r>
      <w:r w:rsidRPr="00EB7815">
        <w:rPr>
          <w:lang w:val="ru-RU"/>
        </w:rPr>
        <w:t xml:space="preserve"> и соавт. [41]. В этом широко используемом 18-пунктовом инструменте ответы давались по пятибалльной шкале Лайкерта (1 = «почти никогда» - 5 = «почти всегда»); более высокие баллы указывали на большие трудности регуляции эмоций. Ранее инструмент демонстрировал хорошую пригодность для подростков </w:t>
      </w:r>
      <w:r w:rsidRPr="00EB7815">
        <w:rPr>
          <w:lang w:val="ru-RU"/>
        </w:rPr>
        <w:lastRenderedPageBreak/>
        <w:t xml:space="preserve">[42, 43]. Внутренняя согласованность полного опросника в базовой выборке была хорошей (альфа Кронбаха = 0,90). В настоящей выборке были выделены шесть подшкал с внутренней согласованностью от превосходной до сомнительной: дефициты эмоциональной осознанности (альфа Кронбаха = 0,67), недостаточная эмоциональная ясность (альфа Кронбаха = 0,81), непринятие эмоциональных реакций (альфа Кронбаха = 0,71), дефициты вовлеченности в целенаправленное поведение (альфа Кронбаха = 0,84), трудности контроля импульсов (альфа Кронбаха = 0,90) и ограниченный доступ к стратегиям регуляции эмоций (альфа Кронбаха = 0,78) [14]. Из-за новизны дифференцированного подхода к стратегиям </w:t>
      </w:r>
      <w:r>
        <w:t>ER</w:t>
      </w:r>
      <w:r w:rsidRPr="00EB7815">
        <w:rPr>
          <w:lang w:val="ru-RU"/>
        </w:rPr>
        <w:t xml:space="preserve"> в контексте </w:t>
      </w:r>
      <w:r>
        <w:t>PG</w:t>
      </w:r>
      <w:r w:rsidRPr="00EB7815">
        <w:rPr>
          <w:lang w:val="ru-RU"/>
        </w:rPr>
        <w:t xml:space="preserve"> подшкала эмоциональной осознанности была сохранена для дальнейшего анализа, хотя ее внутренняя согласованность была ниже общепринятого порога приемлемости (альфа Кронбаха &gt; 0,70) [44].</w:t>
      </w:r>
    </w:p>
    <w:p w14:paraId="5A13721D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Для измерения тенденции к поведенческому избеганию - краткосрочной (неадаптивной) стратегии регуляции эмоций - использовался </w:t>
      </w:r>
      <w:r>
        <w:t>Procrastination</w:t>
      </w:r>
      <w:r w:rsidRPr="00EB7815">
        <w:rPr>
          <w:lang w:val="ru-RU"/>
        </w:rPr>
        <w:t xml:space="preserve"> </w:t>
      </w:r>
      <w:r>
        <w:t>Questionnaire</w:t>
      </w:r>
      <w:r w:rsidRPr="00EB7815">
        <w:rPr>
          <w:lang w:val="ru-RU"/>
        </w:rPr>
        <w:t xml:space="preserve"> </w:t>
      </w:r>
      <w:r>
        <w:t>for</w:t>
      </w:r>
      <w:r w:rsidRPr="00EB7815">
        <w:rPr>
          <w:lang w:val="ru-RU"/>
        </w:rPr>
        <w:t xml:space="preserve"> </w:t>
      </w:r>
      <w:r>
        <w:t>Students</w:t>
      </w:r>
      <w:r w:rsidRPr="00EB7815">
        <w:rPr>
          <w:lang w:val="ru-RU"/>
        </w:rPr>
        <w:t xml:space="preserve"> (</w:t>
      </w:r>
      <w:r>
        <w:t>PFS</w:t>
      </w:r>
      <w:r w:rsidRPr="00EB7815">
        <w:rPr>
          <w:lang w:val="ru-RU"/>
        </w:rPr>
        <w:t xml:space="preserve">-4) [45]. Более высокие значения по </w:t>
      </w:r>
      <w:r>
        <w:t>PFS</w:t>
      </w:r>
      <w:r w:rsidRPr="00EB7815">
        <w:rPr>
          <w:lang w:val="ru-RU"/>
        </w:rPr>
        <w:t>-4 указывали на более выраженную склонность к прокрастинации [46]. Первоначально опросник был валидизирован на немецких студентах вузов [45], но благодаря простой структуре из четырех пунктов, оцениваемых по пятибалльной шкале Лайкерта (1 = «[почти] никогда» - 5 = «[почти] всегда») применительно к учебным задачам, он оказался пригодным и для учащихся старшей школы в клинических и исследовательских условиях [47]. Кроме того, превосходная внутренняя согласованность в базовой выборке дополнительно подтверждала его применимость у подростков (альфа Кронбаха = 0,90).</w:t>
      </w:r>
    </w:p>
    <w:p w14:paraId="370DAF1B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Анализ данных</w:t>
      </w:r>
    </w:p>
    <w:p w14:paraId="23038038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Все статистические анализы выполнялись в программной среде </w:t>
      </w:r>
      <w:r>
        <w:t>R</w:t>
      </w:r>
      <w:r w:rsidRPr="00EB7815">
        <w:rPr>
          <w:lang w:val="ru-RU"/>
        </w:rPr>
        <w:t xml:space="preserve"> версии 4.0.3 [48]. Данные анализировались с вычислением абсолютных и относительных частот с 95%-ными доверительными интервалами для категориальных переменных, а также средних значений и стандартных отклонений для метрических переменных с использованием пакета </w:t>
      </w:r>
      <w:r>
        <w:t>psych</w:t>
      </w:r>
      <w:r w:rsidRPr="00EB7815">
        <w:rPr>
          <w:lang w:val="ru-RU"/>
        </w:rPr>
        <w:t xml:space="preserve">. С учетом правосторонней асимметрии распределений баллов </w:t>
      </w:r>
      <w:r>
        <w:t>IGDS</w:t>
      </w:r>
      <w:r w:rsidRPr="00EB7815">
        <w:rPr>
          <w:lang w:val="ru-RU"/>
        </w:rPr>
        <w:t xml:space="preserve"> и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для кросс-секционных и лонгитюдных анализов были рассчитаны пуассоновские регрессионные модели (пакет </w:t>
      </w:r>
      <w:r>
        <w:t>stats</w:t>
      </w:r>
      <w:r w:rsidRPr="00EB7815">
        <w:rPr>
          <w:lang w:val="ru-RU"/>
        </w:rPr>
        <w:t xml:space="preserve">). Возрастные группы подростков (дети по сравнению с подростками) и пол включались в качестве ковариат. Показатели </w:t>
      </w:r>
      <w:r>
        <w:t>DERS</w:t>
      </w:r>
      <w:r w:rsidRPr="00EB7815">
        <w:rPr>
          <w:lang w:val="ru-RU"/>
        </w:rPr>
        <w:t xml:space="preserve"> и </w:t>
      </w:r>
      <w:r>
        <w:t>PFS</w:t>
      </w:r>
      <w:r w:rsidRPr="00EB7815">
        <w:rPr>
          <w:lang w:val="ru-RU"/>
        </w:rPr>
        <w:t xml:space="preserve"> были </w:t>
      </w:r>
      <w:r>
        <w:t>z</w:t>
      </w:r>
      <w:r w:rsidRPr="00EB7815">
        <w:rPr>
          <w:lang w:val="ru-RU"/>
        </w:rPr>
        <w:t xml:space="preserve">-стандартизированы для облегчения интерпретации. Кроме того, для различения разных паттернов </w:t>
      </w:r>
      <w:r>
        <w:t>PG</w:t>
      </w:r>
      <w:r w:rsidRPr="00EB7815">
        <w:rPr>
          <w:lang w:val="ru-RU"/>
        </w:rPr>
        <w:t xml:space="preserve"> во времени были оценены общие логистические регрессионные модели. Наконец, мультиномиальная логистическая регрессия использовалась для анализа предикторов различных игровых паттернов (отсутствие игры, </w:t>
      </w:r>
      <w:r>
        <w:t>HG</w:t>
      </w:r>
      <w:r w:rsidRPr="00EB7815">
        <w:rPr>
          <w:lang w:val="ru-RU"/>
        </w:rPr>
        <w:t xml:space="preserve"> и </w:t>
      </w:r>
      <w:r>
        <w:t>GD</w:t>
      </w:r>
      <w:r w:rsidRPr="00EB7815">
        <w:rPr>
          <w:lang w:val="ru-RU"/>
        </w:rPr>
        <w:t xml:space="preserve"> по сравнению с частым, но непроблемным игровым поведением; пакет </w:t>
      </w:r>
      <w:r>
        <w:t>R</w:t>
      </w:r>
      <w:r w:rsidRPr="00EB7815">
        <w:rPr>
          <w:lang w:val="ru-RU"/>
        </w:rPr>
        <w:t xml:space="preserve"> </w:t>
      </w:r>
      <w:r>
        <w:t>nnet</w:t>
      </w:r>
      <w:r w:rsidRPr="00EB7815">
        <w:rPr>
          <w:lang w:val="ru-RU"/>
        </w:rPr>
        <w:t>). Перед анализом тщательно проверялись все предпосылки моделей.</w:t>
      </w:r>
    </w:p>
    <w:p w14:paraId="585A9CEA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Результаты</w:t>
      </w:r>
    </w:p>
    <w:p w14:paraId="27429C2B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Характеристики выборки</w:t>
      </w:r>
    </w:p>
    <w:p w14:paraId="416DEB5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Социодемографические характеристики, показатели регуляции эмоций и характеристики игровых паттернов для базового и последующего обследований представлены в таблице 1.</w:t>
      </w:r>
    </w:p>
    <w:p w14:paraId="30E9907E" w14:textId="77777777" w:rsidR="00DD641D" w:rsidRDefault="00000000">
      <w:pPr>
        <w:spacing w:before="120" w:after="60"/>
      </w:pPr>
      <w:r>
        <w:rPr>
          <w:b/>
          <w:sz w:val="22"/>
        </w:rPr>
        <w:t>Таблица 1. Характеристики выборки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07"/>
        <w:gridCol w:w="2377"/>
        <w:gridCol w:w="2378"/>
      </w:tblGrid>
      <w:tr w:rsidR="00DD641D" w14:paraId="09625E7B" w14:textId="77777777">
        <w:trPr>
          <w:tblHeader/>
          <w:jc w:val="center"/>
        </w:trPr>
        <w:tc>
          <w:tcPr>
            <w:tcW w:w="5216" w:type="dxa"/>
            <w:vAlign w:val="center"/>
          </w:tcPr>
          <w:p w14:paraId="0B58F43D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lastRenderedPageBreak/>
              <w:t>Категории</w:t>
            </w:r>
          </w:p>
        </w:tc>
        <w:tc>
          <w:tcPr>
            <w:tcW w:w="2381" w:type="dxa"/>
            <w:vAlign w:val="center"/>
          </w:tcPr>
          <w:p w14:paraId="6E9E800E" w14:textId="77777777" w:rsidR="00DD641D" w:rsidRPr="00EB7815" w:rsidRDefault="00000000">
            <w:pPr>
              <w:spacing w:line="252" w:lineRule="auto"/>
              <w:jc w:val="center"/>
              <w:rPr>
                <w:lang w:val="ru-RU"/>
              </w:rPr>
            </w:pPr>
            <w:r w:rsidRPr="00EB7815">
              <w:rPr>
                <w:b/>
                <w:sz w:val="20"/>
                <w:lang w:val="ru-RU"/>
              </w:rPr>
              <w:t>Базовая выборка</w:t>
            </w:r>
            <w:r w:rsidRPr="00EB7815">
              <w:rPr>
                <w:b/>
                <w:sz w:val="20"/>
                <w:lang w:val="ru-RU"/>
              </w:rPr>
              <w:br/>
            </w:r>
            <w:r>
              <w:rPr>
                <w:b/>
                <w:sz w:val="20"/>
              </w:rPr>
              <w:t>N</w:t>
            </w:r>
            <w:r w:rsidRPr="00EB7815">
              <w:rPr>
                <w:b/>
                <w:sz w:val="20"/>
                <w:lang w:val="ru-RU"/>
              </w:rPr>
              <w:t xml:space="preserve"> (%)/среднее (± </w:t>
            </w:r>
            <w:r>
              <w:rPr>
                <w:b/>
                <w:sz w:val="20"/>
              </w:rPr>
              <w:t>SD</w:t>
            </w:r>
            <w:r w:rsidRPr="00EB7815">
              <w:rPr>
                <w:b/>
                <w:sz w:val="20"/>
                <w:lang w:val="ru-RU"/>
              </w:rPr>
              <w:t>; диапазон)</w:t>
            </w:r>
          </w:p>
        </w:tc>
        <w:tc>
          <w:tcPr>
            <w:tcW w:w="2381" w:type="dxa"/>
            <w:vAlign w:val="center"/>
          </w:tcPr>
          <w:p w14:paraId="51A3864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Выборка последующего обследования</w:t>
            </w:r>
          </w:p>
        </w:tc>
      </w:tr>
      <w:tr w:rsidR="00DD641D" w14:paraId="41D9ABA5" w14:textId="77777777">
        <w:trPr>
          <w:jc w:val="center"/>
        </w:trPr>
        <w:tc>
          <w:tcPr>
            <w:tcW w:w="5216" w:type="dxa"/>
            <w:vAlign w:val="center"/>
          </w:tcPr>
          <w:p w14:paraId="1DCF599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Социодемографические показатели</w:t>
            </w:r>
          </w:p>
        </w:tc>
        <w:tc>
          <w:tcPr>
            <w:tcW w:w="2381" w:type="dxa"/>
            <w:vAlign w:val="center"/>
          </w:tcPr>
          <w:p w14:paraId="36ADE06F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4787DA97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39FA22DA" w14:textId="77777777">
        <w:trPr>
          <w:jc w:val="center"/>
        </w:trPr>
        <w:tc>
          <w:tcPr>
            <w:tcW w:w="5216" w:type="dxa"/>
            <w:vAlign w:val="center"/>
          </w:tcPr>
          <w:p w14:paraId="569ABC2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Абсолютная численность</w:t>
            </w:r>
          </w:p>
        </w:tc>
        <w:tc>
          <w:tcPr>
            <w:tcW w:w="2381" w:type="dxa"/>
            <w:vAlign w:val="center"/>
          </w:tcPr>
          <w:p w14:paraId="0930C42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1221</w:t>
            </w:r>
          </w:p>
        </w:tc>
        <w:tc>
          <w:tcPr>
            <w:tcW w:w="2381" w:type="dxa"/>
            <w:vAlign w:val="center"/>
          </w:tcPr>
          <w:p w14:paraId="2EE2483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659</w:t>
            </w:r>
          </w:p>
        </w:tc>
      </w:tr>
      <w:tr w:rsidR="00DD641D" w14:paraId="4473FF33" w14:textId="77777777">
        <w:trPr>
          <w:jc w:val="center"/>
        </w:trPr>
        <w:tc>
          <w:tcPr>
            <w:tcW w:w="5216" w:type="dxa"/>
            <w:vAlign w:val="center"/>
          </w:tcPr>
          <w:p w14:paraId="4C17E51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Дети (10-13 лет)</w:t>
            </w:r>
          </w:p>
        </w:tc>
        <w:tc>
          <w:tcPr>
            <w:tcW w:w="2381" w:type="dxa"/>
            <w:vAlign w:val="center"/>
          </w:tcPr>
          <w:p w14:paraId="4BBD037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720 (58,97%)</w:t>
            </w:r>
          </w:p>
        </w:tc>
        <w:tc>
          <w:tcPr>
            <w:tcW w:w="2381" w:type="dxa"/>
            <w:vAlign w:val="center"/>
          </w:tcPr>
          <w:p w14:paraId="2D3AD11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378 (57,36%)</w:t>
            </w:r>
          </w:p>
        </w:tc>
      </w:tr>
      <w:tr w:rsidR="00DD641D" w14:paraId="2B2EF6EB" w14:textId="77777777">
        <w:trPr>
          <w:jc w:val="center"/>
        </w:trPr>
        <w:tc>
          <w:tcPr>
            <w:tcW w:w="5216" w:type="dxa"/>
            <w:vAlign w:val="center"/>
          </w:tcPr>
          <w:p w14:paraId="311228E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Подростки (14-17 лет)</w:t>
            </w:r>
          </w:p>
        </w:tc>
        <w:tc>
          <w:tcPr>
            <w:tcW w:w="2381" w:type="dxa"/>
            <w:vAlign w:val="center"/>
          </w:tcPr>
          <w:p w14:paraId="20B937C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501 (41,03%)</w:t>
            </w:r>
          </w:p>
        </w:tc>
        <w:tc>
          <w:tcPr>
            <w:tcW w:w="2381" w:type="dxa"/>
            <w:vAlign w:val="center"/>
          </w:tcPr>
          <w:p w14:paraId="7C9CECA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281 (42,64%)</w:t>
            </w:r>
          </w:p>
        </w:tc>
      </w:tr>
      <w:tr w:rsidR="00DD641D" w14:paraId="5634758D" w14:textId="77777777">
        <w:trPr>
          <w:jc w:val="center"/>
        </w:trPr>
        <w:tc>
          <w:tcPr>
            <w:tcW w:w="5216" w:type="dxa"/>
            <w:vAlign w:val="center"/>
          </w:tcPr>
          <w:p w14:paraId="43C356C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Возраст, лет</w:t>
            </w:r>
          </w:p>
        </w:tc>
        <w:tc>
          <w:tcPr>
            <w:tcW w:w="2381" w:type="dxa"/>
            <w:vAlign w:val="center"/>
          </w:tcPr>
          <w:p w14:paraId="37E5267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13,04 (2,39; 10-17)</w:t>
            </w:r>
          </w:p>
        </w:tc>
        <w:tc>
          <w:tcPr>
            <w:tcW w:w="2381" w:type="dxa"/>
            <w:vAlign w:val="center"/>
          </w:tcPr>
          <w:p w14:paraId="6D00E3E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13,11 (2,38; 10-17)</w:t>
            </w:r>
          </w:p>
        </w:tc>
      </w:tr>
      <w:tr w:rsidR="00DD641D" w14:paraId="6353C1E7" w14:textId="77777777">
        <w:trPr>
          <w:jc w:val="center"/>
        </w:trPr>
        <w:tc>
          <w:tcPr>
            <w:tcW w:w="5216" w:type="dxa"/>
            <w:vAlign w:val="center"/>
          </w:tcPr>
          <w:p w14:paraId="358E917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Пол</w:t>
            </w:r>
          </w:p>
        </w:tc>
        <w:tc>
          <w:tcPr>
            <w:tcW w:w="2381" w:type="dxa"/>
            <w:vAlign w:val="center"/>
          </w:tcPr>
          <w:p w14:paraId="39705E7F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26E6122B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A6C7ABA" w14:textId="77777777">
        <w:trPr>
          <w:jc w:val="center"/>
        </w:trPr>
        <w:tc>
          <w:tcPr>
            <w:tcW w:w="5216" w:type="dxa"/>
            <w:vAlign w:val="center"/>
          </w:tcPr>
          <w:p w14:paraId="1F42A34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Женский</w:t>
            </w:r>
          </w:p>
        </w:tc>
        <w:tc>
          <w:tcPr>
            <w:tcW w:w="2381" w:type="dxa"/>
            <w:vAlign w:val="center"/>
          </w:tcPr>
          <w:p w14:paraId="5A7F4F0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563 (46,11%)</w:t>
            </w:r>
          </w:p>
        </w:tc>
        <w:tc>
          <w:tcPr>
            <w:tcW w:w="2381" w:type="dxa"/>
            <w:vAlign w:val="center"/>
          </w:tcPr>
          <w:p w14:paraId="6108D1F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308 (46,74%)</w:t>
            </w:r>
          </w:p>
        </w:tc>
      </w:tr>
      <w:tr w:rsidR="00DD641D" w14:paraId="4B2F4A7A" w14:textId="77777777">
        <w:trPr>
          <w:jc w:val="center"/>
        </w:trPr>
        <w:tc>
          <w:tcPr>
            <w:tcW w:w="5216" w:type="dxa"/>
            <w:vAlign w:val="center"/>
          </w:tcPr>
          <w:p w14:paraId="1EAD04A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Мужской</w:t>
            </w:r>
          </w:p>
        </w:tc>
        <w:tc>
          <w:tcPr>
            <w:tcW w:w="2381" w:type="dxa"/>
            <w:vAlign w:val="center"/>
          </w:tcPr>
          <w:p w14:paraId="6E98D87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658 (53,89%)</w:t>
            </w:r>
          </w:p>
        </w:tc>
        <w:tc>
          <w:tcPr>
            <w:tcW w:w="2381" w:type="dxa"/>
            <w:vAlign w:val="center"/>
          </w:tcPr>
          <w:p w14:paraId="78B4CD2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351 (53,26%)</w:t>
            </w:r>
          </w:p>
        </w:tc>
      </w:tr>
      <w:tr w:rsidR="00DD641D" w14:paraId="7091E082" w14:textId="77777777">
        <w:trPr>
          <w:jc w:val="center"/>
        </w:trPr>
        <w:tc>
          <w:tcPr>
            <w:tcW w:w="5216" w:type="dxa"/>
            <w:vAlign w:val="center"/>
          </w:tcPr>
          <w:p w14:paraId="70490727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Место проживания</w:t>
            </w:r>
          </w:p>
        </w:tc>
        <w:tc>
          <w:tcPr>
            <w:tcW w:w="2381" w:type="dxa"/>
            <w:vAlign w:val="center"/>
          </w:tcPr>
          <w:p w14:paraId="3CA4656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09D2A1B2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666F9A95" w14:textId="77777777">
        <w:trPr>
          <w:jc w:val="center"/>
        </w:trPr>
        <w:tc>
          <w:tcPr>
            <w:tcW w:w="5216" w:type="dxa"/>
            <w:vAlign w:val="center"/>
          </w:tcPr>
          <w:p w14:paraId="275ED9E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Сельская местность</w:t>
            </w:r>
          </w:p>
        </w:tc>
        <w:tc>
          <w:tcPr>
            <w:tcW w:w="2381" w:type="dxa"/>
            <w:vAlign w:val="center"/>
          </w:tcPr>
          <w:p w14:paraId="7CDB5F4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249 (20,39%)</w:t>
            </w:r>
          </w:p>
        </w:tc>
        <w:tc>
          <w:tcPr>
            <w:tcW w:w="2381" w:type="dxa"/>
            <w:vAlign w:val="center"/>
          </w:tcPr>
          <w:p w14:paraId="06E3A64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111 (16,84%)</w:t>
            </w:r>
          </w:p>
        </w:tc>
      </w:tr>
      <w:tr w:rsidR="00DD641D" w14:paraId="4D4A5D1F" w14:textId="77777777">
        <w:trPr>
          <w:jc w:val="center"/>
        </w:trPr>
        <w:tc>
          <w:tcPr>
            <w:tcW w:w="5216" w:type="dxa"/>
            <w:vAlign w:val="center"/>
          </w:tcPr>
          <w:p w14:paraId="628A325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Городская местность</w:t>
            </w:r>
          </w:p>
        </w:tc>
        <w:tc>
          <w:tcPr>
            <w:tcW w:w="2381" w:type="dxa"/>
            <w:vAlign w:val="center"/>
          </w:tcPr>
          <w:p w14:paraId="6AB97F1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972 (79,61%)</w:t>
            </w:r>
          </w:p>
        </w:tc>
        <w:tc>
          <w:tcPr>
            <w:tcW w:w="2381" w:type="dxa"/>
            <w:vAlign w:val="center"/>
          </w:tcPr>
          <w:p w14:paraId="694D15C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548 (83,16%)</w:t>
            </w:r>
          </w:p>
        </w:tc>
      </w:tr>
      <w:tr w:rsidR="00DD641D" w14:paraId="1922D2EA" w14:textId="77777777">
        <w:trPr>
          <w:jc w:val="center"/>
        </w:trPr>
        <w:tc>
          <w:tcPr>
            <w:tcW w:w="5216" w:type="dxa"/>
            <w:vAlign w:val="center"/>
          </w:tcPr>
          <w:p w14:paraId="38E34D92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Посещение школы</w:t>
            </w:r>
          </w:p>
        </w:tc>
        <w:tc>
          <w:tcPr>
            <w:tcW w:w="2381" w:type="dxa"/>
            <w:vAlign w:val="center"/>
          </w:tcPr>
          <w:p w14:paraId="0323B5AE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0BFD8D4F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78324E51" w14:textId="77777777">
        <w:trPr>
          <w:jc w:val="center"/>
        </w:trPr>
        <w:tc>
          <w:tcPr>
            <w:tcW w:w="5216" w:type="dxa"/>
            <w:vAlign w:val="center"/>
          </w:tcPr>
          <w:p w14:paraId="680222D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Да</w:t>
            </w:r>
          </w:p>
        </w:tc>
        <w:tc>
          <w:tcPr>
            <w:tcW w:w="2381" w:type="dxa"/>
            <w:vAlign w:val="center"/>
          </w:tcPr>
          <w:p w14:paraId="34FFFD9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1132 (92,71%)</w:t>
            </w:r>
          </w:p>
        </w:tc>
        <w:tc>
          <w:tcPr>
            <w:tcW w:w="2381" w:type="dxa"/>
            <w:vAlign w:val="center"/>
          </w:tcPr>
          <w:p w14:paraId="5BAF894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601 (91,2%)</w:t>
            </w:r>
          </w:p>
        </w:tc>
      </w:tr>
      <w:tr w:rsidR="00DD641D" w14:paraId="596F2085" w14:textId="77777777">
        <w:trPr>
          <w:jc w:val="center"/>
        </w:trPr>
        <w:tc>
          <w:tcPr>
            <w:tcW w:w="5216" w:type="dxa"/>
            <w:vAlign w:val="center"/>
          </w:tcPr>
          <w:p w14:paraId="3CF37E5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Нет</w:t>
            </w:r>
          </w:p>
        </w:tc>
        <w:tc>
          <w:tcPr>
            <w:tcW w:w="2381" w:type="dxa"/>
            <w:vAlign w:val="center"/>
          </w:tcPr>
          <w:p w14:paraId="6442FF0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88 (7,21%)</w:t>
            </w:r>
          </w:p>
        </w:tc>
        <w:tc>
          <w:tcPr>
            <w:tcW w:w="2381" w:type="dxa"/>
            <w:vAlign w:val="center"/>
          </w:tcPr>
          <w:p w14:paraId="793DF86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58 (8,80%)</w:t>
            </w:r>
          </w:p>
        </w:tc>
      </w:tr>
      <w:tr w:rsidR="00DD641D" w14:paraId="1219B50D" w14:textId="77777777">
        <w:trPr>
          <w:jc w:val="center"/>
        </w:trPr>
        <w:tc>
          <w:tcPr>
            <w:tcW w:w="5216" w:type="dxa"/>
            <w:vAlign w:val="center"/>
          </w:tcPr>
          <w:p w14:paraId="173F6277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Уровень образования (EL)</w:t>
            </w:r>
          </w:p>
        </w:tc>
        <w:tc>
          <w:tcPr>
            <w:tcW w:w="2381" w:type="dxa"/>
            <w:vAlign w:val="center"/>
          </w:tcPr>
          <w:p w14:paraId="75B12207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27736C97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0D4471C6" w14:textId="77777777">
        <w:trPr>
          <w:jc w:val="center"/>
        </w:trPr>
        <w:tc>
          <w:tcPr>
            <w:tcW w:w="5216" w:type="dxa"/>
            <w:vAlign w:val="center"/>
          </w:tcPr>
          <w:p w14:paraId="7F435F2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Низкий</w:t>
            </w:r>
          </w:p>
        </w:tc>
        <w:tc>
          <w:tcPr>
            <w:tcW w:w="2381" w:type="dxa"/>
            <w:vAlign w:val="center"/>
          </w:tcPr>
          <w:p w14:paraId="56A74F0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99 (8,11%)</w:t>
            </w:r>
          </w:p>
        </w:tc>
        <w:tc>
          <w:tcPr>
            <w:tcW w:w="2381" w:type="dxa"/>
            <w:vAlign w:val="center"/>
          </w:tcPr>
          <w:p w14:paraId="6B8FF8B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54 (8,19%)</w:t>
            </w:r>
          </w:p>
        </w:tc>
      </w:tr>
      <w:tr w:rsidR="00DD641D" w14:paraId="44A95DB9" w14:textId="77777777">
        <w:trPr>
          <w:jc w:val="center"/>
        </w:trPr>
        <w:tc>
          <w:tcPr>
            <w:tcW w:w="5216" w:type="dxa"/>
            <w:vAlign w:val="center"/>
          </w:tcPr>
          <w:p w14:paraId="15CD79B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Средний/высокий</w:t>
            </w:r>
          </w:p>
        </w:tc>
        <w:tc>
          <w:tcPr>
            <w:tcW w:w="2381" w:type="dxa"/>
            <w:vAlign w:val="center"/>
          </w:tcPr>
          <w:p w14:paraId="06C44C7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1069 (87,55%)</w:t>
            </w:r>
          </w:p>
        </w:tc>
        <w:tc>
          <w:tcPr>
            <w:tcW w:w="2381" w:type="dxa"/>
            <w:vAlign w:val="center"/>
          </w:tcPr>
          <w:p w14:paraId="33B5131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579 (87,86%)</w:t>
            </w:r>
          </w:p>
        </w:tc>
      </w:tr>
      <w:tr w:rsidR="00DD641D" w14:paraId="15246641" w14:textId="77777777">
        <w:trPr>
          <w:jc w:val="center"/>
        </w:trPr>
        <w:tc>
          <w:tcPr>
            <w:tcW w:w="5216" w:type="dxa"/>
            <w:vAlign w:val="center"/>
          </w:tcPr>
          <w:p w14:paraId="307D674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Игровой паттерн</w:t>
            </w:r>
          </w:p>
        </w:tc>
        <w:tc>
          <w:tcPr>
            <w:tcW w:w="2381" w:type="dxa"/>
            <w:vAlign w:val="center"/>
          </w:tcPr>
          <w:p w14:paraId="55F036A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7B6CB9E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70CFC0DA" w14:textId="77777777">
        <w:trPr>
          <w:jc w:val="center"/>
        </w:trPr>
        <w:tc>
          <w:tcPr>
            <w:tcW w:w="5216" w:type="dxa"/>
            <w:vAlign w:val="center"/>
          </w:tcPr>
          <w:p w14:paraId="307379D8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Балл IGDS (сумма)</w:t>
            </w:r>
          </w:p>
        </w:tc>
        <w:tc>
          <w:tcPr>
            <w:tcW w:w="2381" w:type="dxa"/>
            <w:vAlign w:val="center"/>
          </w:tcPr>
          <w:p w14:paraId="5916301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1,03 (2,46; 0-9)</w:t>
            </w:r>
          </w:p>
        </w:tc>
        <w:tc>
          <w:tcPr>
            <w:tcW w:w="2381" w:type="dxa"/>
            <w:vAlign w:val="center"/>
          </w:tcPr>
          <w:p w14:paraId="433F5C9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1,87 (2,49; 0-9)</w:t>
            </w:r>
          </w:p>
        </w:tc>
      </w:tr>
      <w:tr w:rsidR="00DD641D" w:rsidRPr="00EB7815" w14:paraId="1A21B484" w14:textId="77777777">
        <w:trPr>
          <w:jc w:val="center"/>
        </w:trPr>
        <w:tc>
          <w:tcPr>
            <w:tcW w:w="5216" w:type="dxa"/>
            <w:vAlign w:val="center"/>
          </w:tcPr>
          <w:p w14:paraId="6D266DA5" w14:textId="77777777" w:rsidR="00DD641D" w:rsidRPr="00EB7815" w:rsidRDefault="00000000">
            <w:pPr>
              <w:spacing w:line="252" w:lineRule="auto"/>
              <w:rPr>
                <w:lang w:val="ru-RU"/>
              </w:rPr>
            </w:pPr>
            <w:r w:rsidRPr="00EB7815">
              <w:rPr>
                <w:sz w:val="20"/>
                <w:lang w:val="ru-RU"/>
              </w:rPr>
              <w:t xml:space="preserve">Игровые группы на исходном этапе по </w:t>
            </w:r>
            <w:r>
              <w:rPr>
                <w:sz w:val="20"/>
              </w:rPr>
              <w:t>IGDS</w:t>
            </w:r>
          </w:p>
        </w:tc>
        <w:tc>
          <w:tcPr>
            <w:tcW w:w="2381" w:type="dxa"/>
            <w:vAlign w:val="center"/>
          </w:tcPr>
          <w:p w14:paraId="764935EB" w14:textId="77777777" w:rsidR="00DD641D" w:rsidRPr="00EB7815" w:rsidRDefault="00DD641D">
            <w:pPr>
              <w:spacing w:line="252" w:lineRule="auto"/>
              <w:jc w:val="center"/>
              <w:rPr>
                <w:lang w:val="ru-RU"/>
              </w:rPr>
            </w:pPr>
          </w:p>
        </w:tc>
        <w:tc>
          <w:tcPr>
            <w:tcW w:w="2381" w:type="dxa"/>
            <w:vAlign w:val="center"/>
          </w:tcPr>
          <w:p w14:paraId="71A6769F" w14:textId="77777777" w:rsidR="00DD641D" w:rsidRPr="00EB7815" w:rsidRDefault="00DD641D">
            <w:pPr>
              <w:spacing w:line="252" w:lineRule="auto"/>
              <w:jc w:val="center"/>
              <w:rPr>
                <w:lang w:val="ru-RU"/>
              </w:rPr>
            </w:pPr>
          </w:p>
        </w:tc>
      </w:tr>
      <w:tr w:rsidR="00DD641D" w14:paraId="4B79E52C" w14:textId="77777777">
        <w:trPr>
          <w:jc w:val="center"/>
        </w:trPr>
        <w:tc>
          <w:tcPr>
            <w:tcW w:w="5216" w:type="dxa"/>
            <w:vAlign w:val="center"/>
          </w:tcPr>
          <w:p w14:paraId="1A16DE1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Непроблемное игровое поведение (&lt; 5)</w:t>
            </w:r>
          </w:p>
        </w:tc>
        <w:tc>
          <w:tcPr>
            <w:tcW w:w="2381" w:type="dxa"/>
            <w:vAlign w:val="center"/>
          </w:tcPr>
          <w:p w14:paraId="7A5292F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1022 (83,7%)</w:t>
            </w:r>
          </w:p>
        </w:tc>
        <w:tc>
          <w:tcPr>
            <w:tcW w:w="2381" w:type="dxa"/>
            <w:vAlign w:val="center"/>
          </w:tcPr>
          <w:p w14:paraId="4CDCBE3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545 (83,72%)</w:t>
            </w:r>
          </w:p>
        </w:tc>
      </w:tr>
      <w:tr w:rsidR="00DD641D" w14:paraId="214A222F" w14:textId="77777777">
        <w:trPr>
          <w:jc w:val="center"/>
        </w:trPr>
        <w:tc>
          <w:tcPr>
            <w:tcW w:w="5216" w:type="dxa"/>
            <w:vAlign w:val="center"/>
          </w:tcPr>
          <w:p w14:paraId="1E59B4B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Проблемное игровое поведение (&gt;= 5)</w:t>
            </w:r>
          </w:p>
        </w:tc>
        <w:tc>
          <w:tcPr>
            <w:tcW w:w="2381" w:type="dxa"/>
            <w:vAlign w:val="center"/>
          </w:tcPr>
          <w:p w14:paraId="72774B6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199 (16,3%)</w:t>
            </w:r>
          </w:p>
        </w:tc>
        <w:tc>
          <w:tcPr>
            <w:tcW w:w="2381" w:type="dxa"/>
            <w:vAlign w:val="center"/>
          </w:tcPr>
          <w:p w14:paraId="6595076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106 (16,28%)</w:t>
            </w:r>
          </w:p>
        </w:tc>
      </w:tr>
      <w:tr w:rsidR="00DD641D" w14:paraId="48AC1656" w14:textId="77777777">
        <w:trPr>
          <w:jc w:val="center"/>
        </w:trPr>
        <w:tc>
          <w:tcPr>
            <w:tcW w:w="5216" w:type="dxa"/>
            <w:vAlign w:val="center"/>
          </w:tcPr>
          <w:p w14:paraId="340E3327" w14:textId="77777777" w:rsidR="00DD641D" w:rsidRPr="00EB7815" w:rsidRDefault="00000000">
            <w:pPr>
              <w:spacing w:line="252" w:lineRule="auto"/>
              <w:rPr>
                <w:lang w:val="ru-RU"/>
              </w:rPr>
            </w:pPr>
            <w:r w:rsidRPr="00EB7815">
              <w:rPr>
                <w:sz w:val="20"/>
                <w:lang w:val="ru-RU"/>
              </w:rPr>
              <w:t xml:space="preserve">Балл </w:t>
            </w:r>
            <w:r>
              <w:rPr>
                <w:sz w:val="20"/>
              </w:rPr>
              <w:t>GADIS</w:t>
            </w:r>
            <w:r w:rsidRPr="00EB7815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A</w:t>
            </w:r>
            <w:r w:rsidRPr="00EB7815">
              <w:rPr>
                <w:sz w:val="20"/>
                <w:lang w:val="ru-RU"/>
              </w:rPr>
              <w:t xml:space="preserve"> (сумма) при последующем обследовании</w:t>
            </w:r>
          </w:p>
        </w:tc>
        <w:tc>
          <w:tcPr>
            <w:tcW w:w="2381" w:type="dxa"/>
            <w:vAlign w:val="center"/>
          </w:tcPr>
          <w:p w14:paraId="1FCD1CF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6,61 (6,74; 0-36)</w:t>
            </w:r>
          </w:p>
        </w:tc>
        <w:tc>
          <w:tcPr>
            <w:tcW w:w="2381" w:type="dxa"/>
            <w:vAlign w:val="center"/>
          </w:tcPr>
          <w:p w14:paraId="1ADDC3C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5,93 (6,81; 0-36)</w:t>
            </w:r>
          </w:p>
        </w:tc>
      </w:tr>
      <w:tr w:rsidR="00DD641D" w14:paraId="6AE87FAC" w14:textId="77777777">
        <w:trPr>
          <w:jc w:val="center"/>
        </w:trPr>
        <w:tc>
          <w:tcPr>
            <w:tcW w:w="5216" w:type="dxa"/>
            <w:vAlign w:val="center"/>
          </w:tcPr>
          <w:p w14:paraId="0CE1BCC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Когнитивно-поведенческие симптомы (сумма)</w:t>
            </w:r>
          </w:p>
        </w:tc>
        <w:tc>
          <w:tcPr>
            <w:tcW w:w="2381" w:type="dxa"/>
            <w:vAlign w:val="center"/>
          </w:tcPr>
          <w:p w14:paraId="4B15035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002D74D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2,05 (3,36; 0-20)</w:t>
            </w:r>
          </w:p>
        </w:tc>
      </w:tr>
      <w:tr w:rsidR="00DD641D" w14:paraId="6BEAD53C" w14:textId="77777777">
        <w:trPr>
          <w:jc w:val="center"/>
        </w:trPr>
        <w:tc>
          <w:tcPr>
            <w:tcW w:w="5216" w:type="dxa"/>
            <w:vAlign w:val="center"/>
          </w:tcPr>
          <w:p w14:paraId="7476D75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Негативные последствия (сумма)</w:t>
            </w:r>
          </w:p>
        </w:tc>
        <w:tc>
          <w:tcPr>
            <w:tcW w:w="2381" w:type="dxa"/>
            <w:vAlign w:val="center"/>
          </w:tcPr>
          <w:p w14:paraId="0E2FA4A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54CD881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3,88 (3,98; 0-20)</w:t>
            </w:r>
          </w:p>
        </w:tc>
      </w:tr>
      <w:tr w:rsidR="00DD641D" w:rsidRPr="00EB7815" w14:paraId="520AF523" w14:textId="77777777">
        <w:trPr>
          <w:jc w:val="center"/>
        </w:trPr>
        <w:tc>
          <w:tcPr>
            <w:tcW w:w="5216" w:type="dxa"/>
            <w:vAlign w:val="center"/>
          </w:tcPr>
          <w:p w14:paraId="2B035ACE" w14:textId="77777777" w:rsidR="00DD641D" w:rsidRPr="00EB7815" w:rsidRDefault="00000000">
            <w:pPr>
              <w:spacing w:line="252" w:lineRule="auto"/>
              <w:rPr>
                <w:lang w:val="ru-RU"/>
              </w:rPr>
            </w:pPr>
            <w:r w:rsidRPr="00EB7815">
              <w:rPr>
                <w:sz w:val="20"/>
                <w:lang w:val="ru-RU"/>
              </w:rPr>
              <w:t xml:space="preserve">Игровые группы по </w:t>
            </w:r>
            <w:r>
              <w:rPr>
                <w:sz w:val="20"/>
              </w:rPr>
              <w:t>GADIS</w:t>
            </w:r>
            <w:r w:rsidRPr="00EB7815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A</w:t>
            </w:r>
            <w:r w:rsidRPr="00EB7815">
              <w:rPr>
                <w:sz w:val="20"/>
                <w:lang w:val="ru-RU"/>
              </w:rPr>
              <w:t xml:space="preserve"> при последующем обследовании</w:t>
            </w:r>
          </w:p>
        </w:tc>
        <w:tc>
          <w:tcPr>
            <w:tcW w:w="2381" w:type="dxa"/>
            <w:vAlign w:val="center"/>
          </w:tcPr>
          <w:p w14:paraId="3ABF5BFD" w14:textId="77777777" w:rsidR="00DD641D" w:rsidRPr="00EB7815" w:rsidRDefault="00DD641D">
            <w:pPr>
              <w:spacing w:line="252" w:lineRule="auto"/>
              <w:jc w:val="center"/>
              <w:rPr>
                <w:lang w:val="ru-RU"/>
              </w:rPr>
            </w:pPr>
          </w:p>
        </w:tc>
        <w:tc>
          <w:tcPr>
            <w:tcW w:w="2381" w:type="dxa"/>
            <w:vAlign w:val="center"/>
          </w:tcPr>
          <w:p w14:paraId="5A38D9DE" w14:textId="77777777" w:rsidR="00DD641D" w:rsidRPr="00EB7815" w:rsidRDefault="00DD641D">
            <w:pPr>
              <w:spacing w:line="252" w:lineRule="auto"/>
              <w:jc w:val="center"/>
              <w:rPr>
                <w:lang w:val="ru-RU"/>
              </w:rPr>
            </w:pPr>
          </w:p>
        </w:tc>
      </w:tr>
      <w:tr w:rsidR="00DD641D" w14:paraId="7B2EE4DD" w14:textId="77777777">
        <w:trPr>
          <w:jc w:val="center"/>
        </w:trPr>
        <w:tc>
          <w:tcPr>
            <w:tcW w:w="5216" w:type="dxa"/>
            <w:vAlign w:val="center"/>
          </w:tcPr>
          <w:p w14:paraId="096B113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Отсутствие частой игры</w:t>
            </w:r>
          </w:p>
        </w:tc>
        <w:tc>
          <w:tcPr>
            <w:tcW w:w="2381" w:type="dxa"/>
            <w:vAlign w:val="center"/>
          </w:tcPr>
          <w:p w14:paraId="6B811C9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5333898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98 (14,87%)</w:t>
            </w:r>
          </w:p>
        </w:tc>
      </w:tr>
      <w:tr w:rsidR="00DD641D" w14:paraId="25D01D97" w14:textId="77777777">
        <w:trPr>
          <w:jc w:val="center"/>
        </w:trPr>
        <w:tc>
          <w:tcPr>
            <w:tcW w:w="5216" w:type="dxa"/>
            <w:vAlign w:val="center"/>
          </w:tcPr>
          <w:p w14:paraId="510EEBA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Непроблемное игровое поведение</w:t>
            </w:r>
          </w:p>
        </w:tc>
        <w:tc>
          <w:tcPr>
            <w:tcW w:w="2381" w:type="dxa"/>
            <w:vAlign w:val="center"/>
          </w:tcPr>
          <w:p w14:paraId="4473E2D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2CD295F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477 (72,38%)</w:t>
            </w:r>
          </w:p>
        </w:tc>
      </w:tr>
      <w:tr w:rsidR="00DD641D" w14:paraId="31EC2CA9" w14:textId="77777777">
        <w:trPr>
          <w:jc w:val="center"/>
        </w:trPr>
        <w:tc>
          <w:tcPr>
            <w:tcW w:w="5216" w:type="dxa"/>
            <w:vAlign w:val="center"/>
          </w:tcPr>
          <w:p w14:paraId="3C0C032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Рискованное игровое поведение (HG)</w:t>
            </w:r>
          </w:p>
        </w:tc>
        <w:tc>
          <w:tcPr>
            <w:tcW w:w="2381" w:type="dxa"/>
            <w:vAlign w:val="center"/>
          </w:tcPr>
          <w:p w14:paraId="33E2763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11DEF86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69 (10,47%)</w:t>
            </w:r>
          </w:p>
        </w:tc>
      </w:tr>
      <w:tr w:rsidR="00DD641D" w14:paraId="49A2AE8C" w14:textId="77777777">
        <w:trPr>
          <w:jc w:val="center"/>
        </w:trPr>
        <w:tc>
          <w:tcPr>
            <w:tcW w:w="5216" w:type="dxa"/>
            <w:vAlign w:val="center"/>
          </w:tcPr>
          <w:p w14:paraId="4C7A0D6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Игровое расстройство (GD)</w:t>
            </w:r>
          </w:p>
        </w:tc>
        <w:tc>
          <w:tcPr>
            <w:tcW w:w="2381" w:type="dxa"/>
            <w:vAlign w:val="center"/>
          </w:tcPr>
          <w:p w14:paraId="0162447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381" w:type="dxa"/>
            <w:vAlign w:val="center"/>
          </w:tcPr>
          <w:p w14:paraId="31E8C38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8 (1,21%)</w:t>
            </w:r>
          </w:p>
        </w:tc>
      </w:tr>
      <w:tr w:rsidR="00DD641D" w14:paraId="365CD064" w14:textId="77777777">
        <w:trPr>
          <w:jc w:val="center"/>
        </w:trPr>
        <w:tc>
          <w:tcPr>
            <w:tcW w:w="5216" w:type="dxa"/>
            <w:vAlign w:val="center"/>
          </w:tcPr>
          <w:p w14:paraId="010F0A4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Показатели регуляции эмоций</w:t>
            </w:r>
          </w:p>
        </w:tc>
        <w:tc>
          <w:tcPr>
            <w:tcW w:w="2381" w:type="dxa"/>
            <w:vAlign w:val="center"/>
          </w:tcPr>
          <w:p w14:paraId="390A7773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619543F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6FCE2B9E" w14:textId="77777777">
        <w:trPr>
          <w:jc w:val="center"/>
        </w:trPr>
        <w:tc>
          <w:tcPr>
            <w:tcW w:w="5216" w:type="dxa"/>
            <w:vAlign w:val="center"/>
          </w:tcPr>
          <w:p w14:paraId="21B3639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Балл DERS (сумма)</w:t>
            </w:r>
          </w:p>
        </w:tc>
        <w:tc>
          <w:tcPr>
            <w:tcW w:w="2381" w:type="dxa"/>
            <w:vAlign w:val="center"/>
          </w:tcPr>
          <w:p w14:paraId="7A0195B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40,47 (12,46; 18-82)</w:t>
            </w:r>
          </w:p>
        </w:tc>
        <w:tc>
          <w:tcPr>
            <w:tcW w:w="2381" w:type="dxa"/>
            <w:vAlign w:val="center"/>
          </w:tcPr>
          <w:p w14:paraId="29D8735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39,55 (12,28; 18-82)</w:t>
            </w:r>
          </w:p>
        </w:tc>
      </w:tr>
      <w:tr w:rsidR="00DD641D" w14:paraId="013AB3EC" w14:textId="77777777">
        <w:trPr>
          <w:jc w:val="center"/>
        </w:trPr>
        <w:tc>
          <w:tcPr>
            <w:tcW w:w="5216" w:type="dxa"/>
            <w:vAlign w:val="center"/>
          </w:tcPr>
          <w:p w14:paraId="536C4A2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Подшкалы DERS</w:t>
            </w:r>
          </w:p>
        </w:tc>
        <w:tc>
          <w:tcPr>
            <w:tcW w:w="2381" w:type="dxa"/>
            <w:vAlign w:val="center"/>
          </w:tcPr>
          <w:p w14:paraId="7C64A5E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2381" w:type="dxa"/>
            <w:vAlign w:val="center"/>
          </w:tcPr>
          <w:p w14:paraId="3C3CBD66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69287DDD" w14:textId="77777777">
        <w:trPr>
          <w:jc w:val="center"/>
        </w:trPr>
        <w:tc>
          <w:tcPr>
            <w:tcW w:w="5216" w:type="dxa"/>
            <w:vAlign w:val="center"/>
          </w:tcPr>
          <w:p w14:paraId="44150B3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Стратегии</w:t>
            </w:r>
          </w:p>
        </w:tc>
        <w:tc>
          <w:tcPr>
            <w:tcW w:w="2381" w:type="dxa"/>
            <w:vAlign w:val="center"/>
          </w:tcPr>
          <w:p w14:paraId="765D57A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6,30 (2,83; 3-15)</w:t>
            </w:r>
          </w:p>
        </w:tc>
        <w:tc>
          <w:tcPr>
            <w:tcW w:w="2381" w:type="dxa"/>
            <w:vAlign w:val="center"/>
          </w:tcPr>
          <w:p w14:paraId="75F8E9A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6,19 (2,87; 3-15)</w:t>
            </w:r>
          </w:p>
        </w:tc>
      </w:tr>
      <w:tr w:rsidR="00DD641D" w14:paraId="48971C65" w14:textId="77777777">
        <w:trPr>
          <w:jc w:val="center"/>
        </w:trPr>
        <w:tc>
          <w:tcPr>
            <w:tcW w:w="5216" w:type="dxa"/>
            <w:vAlign w:val="center"/>
          </w:tcPr>
          <w:p w14:paraId="51716B2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Непринятие</w:t>
            </w:r>
          </w:p>
        </w:tc>
        <w:tc>
          <w:tcPr>
            <w:tcW w:w="2381" w:type="dxa"/>
            <w:vAlign w:val="center"/>
          </w:tcPr>
          <w:p w14:paraId="072908F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6,30 (2,83; 3-15)</w:t>
            </w:r>
          </w:p>
        </w:tc>
        <w:tc>
          <w:tcPr>
            <w:tcW w:w="2381" w:type="dxa"/>
            <w:vAlign w:val="center"/>
          </w:tcPr>
          <w:p w14:paraId="4C49DC5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6,25 (2,79; 3-15)</w:t>
            </w:r>
          </w:p>
        </w:tc>
      </w:tr>
      <w:tr w:rsidR="00DD641D" w14:paraId="7F6A88B9" w14:textId="77777777">
        <w:trPr>
          <w:jc w:val="center"/>
        </w:trPr>
        <w:tc>
          <w:tcPr>
            <w:tcW w:w="5216" w:type="dxa"/>
            <w:vAlign w:val="center"/>
          </w:tcPr>
          <w:p w14:paraId="6829354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Импульсивность</w:t>
            </w:r>
          </w:p>
        </w:tc>
        <w:tc>
          <w:tcPr>
            <w:tcW w:w="2381" w:type="dxa"/>
            <w:vAlign w:val="center"/>
          </w:tcPr>
          <w:p w14:paraId="0FED651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5,78 (3,06; 3-15)</w:t>
            </w:r>
          </w:p>
        </w:tc>
        <w:tc>
          <w:tcPr>
            <w:tcW w:w="2381" w:type="dxa"/>
            <w:vAlign w:val="center"/>
          </w:tcPr>
          <w:p w14:paraId="214C191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5,63 (3,04; 3-15)</w:t>
            </w:r>
          </w:p>
        </w:tc>
      </w:tr>
      <w:tr w:rsidR="00DD641D" w14:paraId="6B81B761" w14:textId="77777777">
        <w:trPr>
          <w:jc w:val="center"/>
        </w:trPr>
        <w:tc>
          <w:tcPr>
            <w:tcW w:w="5216" w:type="dxa"/>
            <w:vAlign w:val="center"/>
          </w:tcPr>
          <w:p w14:paraId="350C227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Целенаправленное поведение</w:t>
            </w:r>
          </w:p>
        </w:tc>
        <w:tc>
          <w:tcPr>
            <w:tcW w:w="2381" w:type="dxa"/>
            <w:vAlign w:val="center"/>
          </w:tcPr>
          <w:p w14:paraId="2D92C91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7,21 (3,08; 3-15)</w:t>
            </w:r>
          </w:p>
        </w:tc>
        <w:tc>
          <w:tcPr>
            <w:tcW w:w="2381" w:type="dxa"/>
            <w:vAlign w:val="center"/>
          </w:tcPr>
          <w:p w14:paraId="7338F7A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6,98 (3,00; 3-15)</w:t>
            </w:r>
          </w:p>
        </w:tc>
      </w:tr>
      <w:tr w:rsidR="00DD641D" w14:paraId="7F414130" w14:textId="77777777">
        <w:trPr>
          <w:jc w:val="center"/>
        </w:trPr>
        <w:tc>
          <w:tcPr>
            <w:tcW w:w="5216" w:type="dxa"/>
            <w:vAlign w:val="center"/>
          </w:tcPr>
          <w:p w14:paraId="6A64EBD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Ясность</w:t>
            </w:r>
          </w:p>
        </w:tc>
        <w:tc>
          <w:tcPr>
            <w:tcW w:w="2381" w:type="dxa"/>
            <w:vAlign w:val="center"/>
          </w:tcPr>
          <w:p w14:paraId="3CB95F3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6,48 (2,82; 3-15)</w:t>
            </w:r>
          </w:p>
        </w:tc>
        <w:tc>
          <w:tcPr>
            <w:tcW w:w="2381" w:type="dxa"/>
            <w:vAlign w:val="center"/>
          </w:tcPr>
          <w:p w14:paraId="2E86AA5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6,40 (2,80; 3-15)</w:t>
            </w:r>
          </w:p>
        </w:tc>
      </w:tr>
      <w:tr w:rsidR="00DD641D" w14:paraId="61179B0D" w14:textId="77777777">
        <w:trPr>
          <w:jc w:val="center"/>
        </w:trPr>
        <w:tc>
          <w:tcPr>
            <w:tcW w:w="5216" w:type="dxa"/>
            <w:vAlign w:val="center"/>
          </w:tcPr>
          <w:p w14:paraId="056EC52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Осознанность</w:t>
            </w:r>
          </w:p>
        </w:tc>
        <w:tc>
          <w:tcPr>
            <w:tcW w:w="2381" w:type="dxa"/>
            <w:vAlign w:val="center"/>
          </w:tcPr>
          <w:p w14:paraId="058D2BA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8,39 (2,89; 3-15)</w:t>
            </w:r>
          </w:p>
        </w:tc>
        <w:tc>
          <w:tcPr>
            <w:tcW w:w="2381" w:type="dxa"/>
            <w:vAlign w:val="center"/>
          </w:tcPr>
          <w:p w14:paraId="13D1578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8,27 (2,85; 3-15)</w:t>
            </w:r>
          </w:p>
        </w:tc>
      </w:tr>
      <w:tr w:rsidR="00DD641D" w14:paraId="5704F3A0" w14:textId="77777777">
        <w:trPr>
          <w:jc w:val="center"/>
        </w:trPr>
        <w:tc>
          <w:tcPr>
            <w:tcW w:w="5216" w:type="dxa"/>
            <w:vAlign w:val="center"/>
          </w:tcPr>
          <w:p w14:paraId="61A426B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Балл PFS (сумма)</w:t>
            </w:r>
          </w:p>
        </w:tc>
        <w:tc>
          <w:tcPr>
            <w:tcW w:w="2381" w:type="dxa"/>
            <w:vAlign w:val="center"/>
          </w:tcPr>
          <w:p w14:paraId="716E81B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11,08 (4,03; 4-20)</w:t>
            </w:r>
          </w:p>
        </w:tc>
        <w:tc>
          <w:tcPr>
            <w:tcW w:w="2381" w:type="dxa"/>
            <w:vAlign w:val="center"/>
          </w:tcPr>
          <w:p w14:paraId="377322A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10,91 (4,00; 4-20)</w:t>
            </w:r>
          </w:p>
        </w:tc>
      </w:tr>
    </w:tbl>
    <w:p w14:paraId="7403193D" w14:textId="77777777" w:rsidR="00DD641D" w:rsidRDefault="00DD641D"/>
    <w:p w14:paraId="35EC2A61" w14:textId="77777777" w:rsidR="00DD641D" w:rsidRPr="00EB7815" w:rsidRDefault="00000000">
      <w:pPr>
        <w:spacing w:after="160"/>
        <w:rPr>
          <w:lang w:val="ru-RU"/>
        </w:rPr>
      </w:pPr>
      <w:r w:rsidRPr="00EB7815">
        <w:rPr>
          <w:i/>
          <w:lang w:val="ru-RU"/>
        </w:rPr>
        <w:t xml:space="preserve">Пропущенные значения: миграционный фон </w:t>
      </w:r>
      <w:r>
        <w:rPr>
          <w:i/>
        </w:rPr>
        <w:t>t</w:t>
      </w:r>
      <w:r w:rsidRPr="00EB7815">
        <w:rPr>
          <w:i/>
          <w:lang w:val="ru-RU"/>
        </w:rPr>
        <w:t xml:space="preserve">0 - </w:t>
      </w:r>
      <w:r>
        <w:rPr>
          <w:i/>
        </w:rPr>
        <w:t>n</w:t>
      </w:r>
      <w:r w:rsidRPr="00EB7815">
        <w:rPr>
          <w:i/>
          <w:lang w:val="ru-RU"/>
        </w:rPr>
        <w:t xml:space="preserve"> = 25 (0,9%), </w:t>
      </w:r>
      <w:r>
        <w:rPr>
          <w:i/>
        </w:rPr>
        <w:t>t</w:t>
      </w:r>
      <w:r w:rsidRPr="00EB7815">
        <w:rPr>
          <w:i/>
          <w:lang w:val="ru-RU"/>
        </w:rPr>
        <w:t xml:space="preserve">1 - </w:t>
      </w:r>
      <w:r>
        <w:rPr>
          <w:i/>
        </w:rPr>
        <w:t>n</w:t>
      </w:r>
      <w:r w:rsidRPr="00EB7815">
        <w:rPr>
          <w:i/>
          <w:lang w:val="ru-RU"/>
        </w:rPr>
        <w:t xml:space="preserve"> = 1 (0,15%), </w:t>
      </w:r>
      <w:r>
        <w:rPr>
          <w:i/>
        </w:rPr>
        <w:t>EL</w:t>
      </w:r>
      <w:r w:rsidRPr="00EB7815">
        <w:rPr>
          <w:i/>
          <w:lang w:val="ru-RU"/>
        </w:rPr>
        <w:t xml:space="preserve"> </w:t>
      </w:r>
      <w:r>
        <w:rPr>
          <w:i/>
        </w:rPr>
        <w:t>t</w:t>
      </w:r>
      <w:r w:rsidRPr="00EB7815">
        <w:rPr>
          <w:i/>
          <w:lang w:val="ru-RU"/>
        </w:rPr>
        <w:t xml:space="preserve">0 - </w:t>
      </w:r>
      <w:r>
        <w:rPr>
          <w:i/>
        </w:rPr>
        <w:t>n</w:t>
      </w:r>
      <w:r w:rsidRPr="00EB7815">
        <w:rPr>
          <w:i/>
          <w:lang w:val="ru-RU"/>
        </w:rPr>
        <w:t xml:space="preserve"> = 53 (4,34%), </w:t>
      </w:r>
      <w:r>
        <w:rPr>
          <w:i/>
        </w:rPr>
        <w:t>t</w:t>
      </w:r>
      <w:r w:rsidRPr="00EB7815">
        <w:rPr>
          <w:i/>
          <w:lang w:val="ru-RU"/>
        </w:rPr>
        <w:t xml:space="preserve">1 - </w:t>
      </w:r>
      <w:r>
        <w:rPr>
          <w:i/>
        </w:rPr>
        <w:t>n</w:t>
      </w:r>
      <w:r w:rsidRPr="00EB7815">
        <w:rPr>
          <w:i/>
          <w:lang w:val="ru-RU"/>
        </w:rPr>
        <w:t xml:space="preserve"> = 26 (3,95%), игровая группа </w:t>
      </w:r>
      <w:r>
        <w:rPr>
          <w:i/>
        </w:rPr>
        <w:t>t</w:t>
      </w:r>
      <w:r w:rsidRPr="00EB7815">
        <w:rPr>
          <w:i/>
          <w:lang w:val="ru-RU"/>
        </w:rPr>
        <w:t xml:space="preserve">0 - </w:t>
      </w:r>
      <w:r>
        <w:rPr>
          <w:i/>
        </w:rPr>
        <w:t>n</w:t>
      </w:r>
      <w:r w:rsidRPr="00EB7815">
        <w:rPr>
          <w:i/>
          <w:lang w:val="ru-RU"/>
        </w:rPr>
        <w:t xml:space="preserve"> = 14 (1,15%), игровая группа </w:t>
      </w:r>
      <w:r>
        <w:rPr>
          <w:i/>
        </w:rPr>
        <w:t>t</w:t>
      </w:r>
      <w:r w:rsidRPr="00EB7815">
        <w:rPr>
          <w:i/>
          <w:lang w:val="ru-RU"/>
        </w:rPr>
        <w:t xml:space="preserve">1 - </w:t>
      </w:r>
      <w:r>
        <w:rPr>
          <w:i/>
        </w:rPr>
        <w:t>n</w:t>
      </w:r>
      <w:r w:rsidRPr="00EB7815">
        <w:rPr>
          <w:i/>
          <w:lang w:val="ru-RU"/>
        </w:rPr>
        <w:t xml:space="preserve"> = 7 (1,06%). </w:t>
      </w:r>
      <w:r>
        <w:rPr>
          <w:i/>
        </w:rPr>
        <w:t>SD</w:t>
      </w:r>
      <w:r w:rsidRPr="00EB7815">
        <w:rPr>
          <w:i/>
          <w:lang w:val="ru-RU"/>
        </w:rPr>
        <w:t xml:space="preserve"> - стандартное отклонение, </w:t>
      </w:r>
      <w:r>
        <w:rPr>
          <w:i/>
        </w:rPr>
        <w:t>EL</w:t>
      </w:r>
      <w:r w:rsidRPr="00EB7815">
        <w:rPr>
          <w:i/>
          <w:lang w:val="ru-RU"/>
        </w:rPr>
        <w:t xml:space="preserve"> - оценочный уровень образования участника; </w:t>
      </w:r>
      <w:r>
        <w:rPr>
          <w:i/>
        </w:rPr>
        <w:t>EL</w:t>
      </w:r>
      <w:r w:rsidRPr="00EB7815">
        <w:rPr>
          <w:i/>
          <w:lang w:val="ru-RU"/>
        </w:rPr>
        <w:t xml:space="preserve"> </w:t>
      </w:r>
      <w:r>
        <w:rPr>
          <w:i/>
        </w:rPr>
        <w:t>low</w:t>
      </w:r>
      <w:r w:rsidRPr="00EB7815">
        <w:rPr>
          <w:i/>
          <w:lang w:val="ru-RU"/>
        </w:rPr>
        <w:t xml:space="preserve"> - отсутствие аттестата, специальная школа («</w:t>
      </w:r>
      <w:r>
        <w:rPr>
          <w:i/>
        </w:rPr>
        <w:t>F</w:t>
      </w:r>
      <w:r w:rsidRPr="00EB7815">
        <w:rPr>
          <w:i/>
          <w:lang w:val="ru-RU"/>
        </w:rPr>
        <w:t>ö</w:t>
      </w:r>
      <w:r>
        <w:rPr>
          <w:i/>
        </w:rPr>
        <w:t>rderschulabschluss</w:t>
      </w:r>
      <w:r w:rsidRPr="00EB7815">
        <w:rPr>
          <w:i/>
          <w:lang w:val="ru-RU"/>
        </w:rPr>
        <w:t>») или аттестат о неполном среднем образовании («</w:t>
      </w:r>
      <w:r>
        <w:rPr>
          <w:i/>
        </w:rPr>
        <w:t>Hauptschulabschluss</w:t>
      </w:r>
      <w:r w:rsidRPr="00EB7815">
        <w:rPr>
          <w:i/>
          <w:lang w:val="ru-RU"/>
        </w:rPr>
        <w:t xml:space="preserve">»), </w:t>
      </w:r>
      <w:r>
        <w:rPr>
          <w:i/>
        </w:rPr>
        <w:t>EL</w:t>
      </w:r>
      <w:r w:rsidRPr="00EB7815">
        <w:rPr>
          <w:i/>
          <w:lang w:val="ru-RU"/>
        </w:rPr>
        <w:t xml:space="preserve"> </w:t>
      </w:r>
      <w:r>
        <w:rPr>
          <w:i/>
        </w:rPr>
        <w:t>middle</w:t>
      </w:r>
      <w:r w:rsidRPr="00EB7815">
        <w:rPr>
          <w:i/>
          <w:lang w:val="ru-RU"/>
        </w:rPr>
        <w:t>/</w:t>
      </w:r>
      <w:r>
        <w:rPr>
          <w:i/>
        </w:rPr>
        <w:t>high</w:t>
      </w:r>
      <w:r w:rsidRPr="00EB7815">
        <w:rPr>
          <w:i/>
          <w:lang w:val="ru-RU"/>
        </w:rPr>
        <w:t xml:space="preserve"> - от аттестата о </w:t>
      </w:r>
      <w:r w:rsidRPr="00EB7815">
        <w:rPr>
          <w:i/>
          <w:lang w:val="ru-RU"/>
        </w:rPr>
        <w:lastRenderedPageBreak/>
        <w:t>среднем образовании («</w:t>
      </w:r>
      <w:r>
        <w:rPr>
          <w:i/>
        </w:rPr>
        <w:t>Realschulabschluss</w:t>
      </w:r>
      <w:r w:rsidRPr="00EB7815">
        <w:rPr>
          <w:i/>
          <w:lang w:val="ru-RU"/>
        </w:rPr>
        <w:t>») до права поступления в университет («</w:t>
      </w:r>
      <w:r>
        <w:rPr>
          <w:i/>
        </w:rPr>
        <w:t>Abitur</w:t>
      </w:r>
      <w:r w:rsidRPr="00EB7815">
        <w:rPr>
          <w:i/>
          <w:lang w:val="ru-RU"/>
        </w:rPr>
        <w:t xml:space="preserve">»); тест на эквивалентность не выявил различий в характеристиках выборки между базовым и последующим обследованием; </w:t>
      </w:r>
      <w:r>
        <w:rPr>
          <w:i/>
        </w:rPr>
        <w:t>IGDS</w:t>
      </w:r>
      <w:r w:rsidRPr="00EB7815">
        <w:rPr>
          <w:i/>
          <w:lang w:val="ru-RU"/>
        </w:rPr>
        <w:t xml:space="preserve"> - </w:t>
      </w:r>
      <w:r>
        <w:rPr>
          <w:i/>
        </w:rPr>
        <w:t>Internet</w:t>
      </w:r>
      <w:r w:rsidRPr="00EB7815">
        <w:rPr>
          <w:i/>
          <w:lang w:val="ru-RU"/>
        </w:rPr>
        <w:t xml:space="preserve"> </w:t>
      </w:r>
      <w:r>
        <w:rPr>
          <w:i/>
        </w:rPr>
        <w:t>Gaming</w:t>
      </w:r>
      <w:r w:rsidRPr="00EB7815">
        <w:rPr>
          <w:i/>
          <w:lang w:val="ru-RU"/>
        </w:rPr>
        <w:t xml:space="preserve"> </w:t>
      </w:r>
      <w:r>
        <w:rPr>
          <w:i/>
        </w:rPr>
        <w:t>Disorder</w:t>
      </w:r>
      <w:r w:rsidRPr="00EB7815">
        <w:rPr>
          <w:i/>
          <w:lang w:val="ru-RU"/>
        </w:rPr>
        <w:t xml:space="preserve"> </w:t>
      </w:r>
      <w:r>
        <w:rPr>
          <w:i/>
        </w:rPr>
        <w:t>Scale</w:t>
      </w:r>
      <w:r w:rsidRPr="00EB7815">
        <w:rPr>
          <w:i/>
          <w:lang w:val="ru-RU"/>
        </w:rPr>
        <w:t xml:space="preserve">, </w:t>
      </w:r>
      <w:r>
        <w:rPr>
          <w:i/>
        </w:rPr>
        <w:t>GADIS</w:t>
      </w:r>
      <w:r w:rsidRPr="00EB7815">
        <w:rPr>
          <w:i/>
          <w:lang w:val="ru-RU"/>
        </w:rPr>
        <w:t>-</w:t>
      </w:r>
      <w:r>
        <w:rPr>
          <w:i/>
        </w:rPr>
        <w:t>A</w:t>
      </w:r>
      <w:r w:rsidRPr="00EB7815">
        <w:rPr>
          <w:i/>
          <w:lang w:val="ru-RU"/>
        </w:rPr>
        <w:t xml:space="preserve"> - </w:t>
      </w:r>
      <w:r>
        <w:rPr>
          <w:i/>
        </w:rPr>
        <w:t>Gaming</w:t>
      </w:r>
      <w:r w:rsidRPr="00EB7815">
        <w:rPr>
          <w:i/>
          <w:lang w:val="ru-RU"/>
        </w:rPr>
        <w:t xml:space="preserve"> </w:t>
      </w:r>
      <w:r>
        <w:rPr>
          <w:i/>
        </w:rPr>
        <w:t>Disorder</w:t>
      </w:r>
      <w:r w:rsidRPr="00EB7815">
        <w:rPr>
          <w:i/>
          <w:lang w:val="ru-RU"/>
        </w:rPr>
        <w:t xml:space="preserve"> </w:t>
      </w:r>
      <w:r>
        <w:rPr>
          <w:i/>
        </w:rPr>
        <w:t>Scale</w:t>
      </w:r>
      <w:r w:rsidRPr="00EB7815">
        <w:rPr>
          <w:i/>
          <w:lang w:val="ru-RU"/>
        </w:rPr>
        <w:t xml:space="preserve"> </w:t>
      </w:r>
      <w:r>
        <w:rPr>
          <w:i/>
        </w:rPr>
        <w:t>for</w:t>
      </w:r>
      <w:r w:rsidRPr="00EB7815">
        <w:rPr>
          <w:i/>
          <w:lang w:val="ru-RU"/>
        </w:rPr>
        <w:t xml:space="preserve"> </w:t>
      </w:r>
      <w:r>
        <w:rPr>
          <w:i/>
        </w:rPr>
        <w:t>Adolescents</w:t>
      </w:r>
      <w:r w:rsidRPr="00EB7815">
        <w:rPr>
          <w:i/>
          <w:lang w:val="ru-RU"/>
        </w:rPr>
        <w:t xml:space="preserve">, </w:t>
      </w:r>
      <w:r>
        <w:rPr>
          <w:i/>
        </w:rPr>
        <w:t>DERS</w:t>
      </w:r>
      <w:r w:rsidRPr="00EB7815">
        <w:rPr>
          <w:i/>
          <w:lang w:val="ru-RU"/>
        </w:rPr>
        <w:t xml:space="preserve"> - </w:t>
      </w:r>
      <w:r>
        <w:rPr>
          <w:i/>
        </w:rPr>
        <w:t>Difficulties</w:t>
      </w:r>
      <w:r w:rsidRPr="00EB7815">
        <w:rPr>
          <w:i/>
          <w:lang w:val="ru-RU"/>
        </w:rPr>
        <w:t xml:space="preserve"> </w:t>
      </w:r>
      <w:r>
        <w:rPr>
          <w:i/>
        </w:rPr>
        <w:t>in</w:t>
      </w:r>
      <w:r w:rsidRPr="00EB7815">
        <w:rPr>
          <w:i/>
          <w:lang w:val="ru-RU"/>
        </w:rPr>
        <w:t xml:space="preserve"> </w:t>
      </w:r>
      <w:r>
        <w:rPr>
          <w:i/>
        </w:rPr>
        <w:t>Emotion</w:t>
      </w:r>
      <w:r w:rsidRPr="00EB7815">
        <w:rPr>
          <w:i/>
          <w:lang w:val="ru-RU"/>
        </w:rPr>
        <w:t xml:space="preserve"> </w:t>
      </w:r>
      <w:r>
        <w:rPr>
          <w:i/>
        </w:rPr>
        <w:t>Regulation</w:t>
      </w:r>
      <w:r w:rsidRPr="00EB7815">
        <w:rPr>
          <w:i/>
          <w:lang w:val="ru-RU"/>
        </w:rPr>
        <w:t xml:space="preserve"> </w:t>
      </w:r>
      <w:r>
        <w:rPr>
          <w:i/>
        </w:rPr>
        <w:t>Scale</w:t>
      </w:r>
      <w:r w:rsidRPr="00EB7815">
        <w:rPr>
          <w:i/>
          <w:lang w:val="ru-RU"/>
        </w:rPr>
        <w:t xml:space="preserve">, </w:t>
      </w:r>
      <w:r>
        <w:rPr>
          <w:i/>
        </w:rPr>
        <w:t>PFS</w:t>
      </w:r>
      <w:r w:rsidRPr="00EB7815">
        <w:rPr>
          <w:i/>
          <w:lang w:val="ru-RU"/>
        </w:rPr>
        <w:t xml:space="preserve"> - </w:t>
      </w:r>
      <w:r>
        <w:rPr>
          <w:i/>
        </w:rPr>
        <w:t>Procrastination</w:t>
      </w:r>
      <w:r w:rsidRPr="00EB7815">
        <w:rPr>
          <w:i/>
          <w:lang w:val="ru-RU"/>
        </w:rPr>
        <w:t xml:space="preserve"> </w:t>
      </w:r>
      <w:r>
        <w:rPr>
          <w:i/>
        </w:rPr>
        <w:t>Questionnaire</w:t>
      </w:r>
      <w:r w:rsidRPr="00EB7815">
        <w:rPr>
          <w:i/>
          <w:lang w:val="ru-RU"/>
        </w:rPr>
        <w:t xml:space="preserve"> </w:t>
      </w:r>
      <w:r>
        <w:rPr>
          <w:i/>
        </w:rPr>
        <w:t>for</w:t>
      </w:r>
      <w:r w:rsidRPr="00EB7815">
        <w:rPr>
          <w:i/>
          <w:lang w:val="ru-RU"/>
        </w:rPr>
        <w:t xml:space="preserve"> </w:t>
      </w:r>
      <w:r>
        <w:rPr>
          <w:i/>
        </w:rPr>
        <w:t>Students</w:t>
      </w:r>
      <w:r w:rsidRPr="00EB7815">
        <w:rPr>
          <w:i/>
          <w:lang w:val="ru-RU"/>
        </w:rPr>
        <w:t>.</w:t>
      </w:r>
    </w:p>
    <w:p w14:paraId="40229066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Кросс-секционные анализы</w:t>
      </w:r>
    </w:p>
    <w:p w14:paraId="090A65A3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Общая пуассоновская модель</w:t>
      </w:r>
    </w:p>
    <w:p w14:paraId="6EE9C3C0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Для оценки влияния эмоциональной дизрегуляции на </w:t>
      </w:r>
      <w:r>
        <w:t>PG</w:t>
      </w:r>
      <w:r w:rsidRPr="00EB7815">
        <w:rPr>
          <w:lang w:val="ru-RU"/>
        </w:rPr>
        <w:t xml:space="preserve"> с контролем возрастных групп и пола была проведена многомерная общая пуассоновская регрессия (табл. 2). Оба показателя </w:t>
      </w:r>
      <w:r>
        <w:t>ER</w:t>
      </w:r>
      <w:r w:rsidRPr="00EB7815">
        <w:rPr>
          <w:lang w:val="ru-RU"/>
        </w:rPr>
        <w:t xml:space="preserve">, основанные на суммарных баллах </w:t>
      </w:r>
      <w:r>
        <w:t>DERS</w:t>
      </w:r>
      <w:r w:rsidRPr="00EB7815">
        <w:rPr>
          <w:lang w:val="ru-RU"/>
        </w:rPr>
        <w:t xml:space="preserve"> и </w:t>
      </w:r>
      <w:r>
        <w:t>PFS</w:t>
      </w:r>
      <w:r w:rsidRPr="00EB7815">
        <w:rPr>
          <w:lang w:val="ru-RU"/>
        </w:rPr>
        <w:t xml:space="preserve">, а также ковариаты, были значимо связаны с большим числом симптомов </w:t>
      </w:r>
      <w:r>
        <w:t>PG</w:t>
      </w:r>
      <w:r w:rsidRPr="00EB7815">
        <w:rPr>
          <w:lang w:val="ru-RU"/>
        </w:rPr>
        <w:t>. Общая модель объясняла 59,9% дисперсии (</w:t>
      </w:r>
      <w:r>
        <w:t>R</w:t>
      </w:r>
      <w:r w:rsidRPr="00EB7815">
        <w:rPr>
          <w:lang w:val="ru-RU"/>
        </w:rPr>
        <w:t>^2 Нагелькерке = 0,60).</w:t>
      </w:r>
    </w:p>
    <w:p w14:paraId="19079D08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2. Характеристики регуляции эмоций как факторы риска проблемного игрового поведения у подростков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0AE9B5CE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541FEE2F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6801565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165A3C92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1ED27546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1ED19FEC" w14:textId="77777777">
        <w:trPr>
          <w:jc w:val="center"/>
        </w:trPr>
        <w:tc>
          <w:tcPr>
            <w:tcW w:w="4309" w:type="dxa"/>
            <w:vAlign w:val="center"/>
          </w:tcPr>
          <w:p w14:paraId="42F05C3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1A0F065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0,14</w:t>
            </w:r>
          </w:p>
        </w:tc>
        <w:tc>
          <w:tcPr>
            <w:tcW w:w="1701" w:type="dxa"/>
            <w:vAlign w:val="center"/>
          </w:tcPr>
          <w:p w14:paraId="4D733FA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0,11-0,19</w:t>
            </w:r>
          </w:p>
        </w:tc>
        <w:tc>
          <w:tcPr>
            <w:tcW w:w="1191" w:type="dxa"/>
            <w:vAlign w:val="center"/>
          </w:tcPr>
          <w:p w14:paraId="595EA44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1A8A8F51" w14:textId="77777777">
        <w:trPr>
          <w:jc w:val="center"/>
        </w:trPr>
        <w:tc>
          <w:tcPr>
            <w:tcW w:w="4309" w:type="dxa"/>
            <w:vAlign w:val="center"/>
          </w:tcPr>
          <w:p w14:paraId="6AF0EFE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Суммарный балл DERS</w:t>
            </w:r>
          </w:p>
        </w:tc>
        <w:tc>
          <w:tcPr>
            <w:tcW w:w="1701" w:type="dxa"/>
            <w:vAlign w:val="center"/>
          </w:tcPr>
          <w:p w14:paraId="38317D7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1,36</w:t>
            </w:r>
          </w:p>
        </w:tc>
        <w:tc>
          <w:tcPr>
            <w:tcW w:w="1701" w:type="dxa"/>
            <w:vAlign w:val="center"/>
          </w:tcPr>
          <w:p w14:paraId="5DA614D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1,27-1,46</w:t>
            </w:r>
          </w:p>
        </w:tc>
        <w:tc>
          <w:tcPr>
            <w:tcW w:w="1191" w:type="dxa"/>
            <w:vAlign w:val="center"/>
          </w:tcPr>
          <w:p w14:paraId="47797BA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04358AF3" w14:textId="77777777">
        <w:trPr>
          <w:jc w:val="center"/>
        </w:trPr>
        <w:tc>
          <w:tcPr>
            <w:tcW w:w="4309" w:type="dxa"/>
            <w:vAlign w:val="center"/>
          </w:tcPr>
          <w:p w14:paraId="50A8C66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Суммарный балл PFS</w:t>
            </w:r>
          </w:p>
        </w:tc>
        <w:tc>
          <w:tcPr>
            <w:tcW w:w="1701" w:type="dxa"/>
            <w:vAlign w:val="center"/>
          </w:tcPr>
          <w:p w14:paraId="75CF5AA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1,34</w:t>
            </w:r>
          </w:p>
        </w:tc>
        <w:tc>
          <w:tcPr>
            <w:tcW w:w="1701" w:type="dxa"/>
            <w:vAlign w:val="center"/>
          </w:tcPr>
          <w:p w14:paraId="2ED62D6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1,24-1,44</w:t>
            </w:r>
          </w:p>
        </w:tc>
        <w:tc>
          <w:tcPr>
            <w:tcW w:w="1191" w:type="dxa"/>
            <w:vAlign w:val="center"/>
          </w:tcPr>
          <w:p w14:paraId="6997EB9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3C3C8820" w14:textId="77777777">
        <w:trPr>
          <w:jc w:val="center"/>
        </w:trPr>
        <w:tc>
          <w:tcPr>
            <w:tcW w:w="4309" w:type="dxa"/>
            <w:vAlign w:val="center"/>
          </w:tcPr>
          <w:p w14:paraId="15203B4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Ковариаты</w:t>
            </w:r>
          </w:p>
        </w:tc>
        <w:tc>
          <w:tcPr>
            <w:tcW w:w="1701" w:type="dxa"/>
            <w:vAlign w:val="center"/>
          </w:tcPr>
          <w:p w14:paraId="108E288C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38B646F8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3CD763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3285A249" w14:textId="77777777">
        <w:trPr>
          <w:jc w:val="center"/>
        </w:trPr>
        <w:tc>
          <w:tcPr>
            <w:tcW w:w="4309" w:type="dxa"/>
            <w:vAlign w:val="center"/>
          </w:tcPr>
          <w:p w14:paraId="793F084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Пол (мальчики)</w:t>
            </w:r>
          </w:p>
        </w:tc>
        <w:tc>
          <w:tcPr>
            <w:tcW w:w="1701" w:type="dxa"/>
            <w:vAlign w:val="center"/>
          </w:tcPr>
          <w:p w14:paraId="022E08D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2,00</w:t>
            </w:r>
          </w:p>
        </w:tc>
        <w:tc>
          <w:tcPr>
            <w:tcW w:w="1701" w:type="dxa"/>
            <w:vAlign w:val="center"/>
          </w:tcPr>
          <w:p w14:paraId="3B156FE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1,73-2,30</w:t>
            </w:r>
          </w:p>
        </w:tc>
        <w:tc>
          <w:tcPr>
            <w:tcW w:w="1191" w:type="dxa"/>
            <w:vAlign w:val="center"/>
          </w:tcPr>
          <w:p w14:paraId="4073B8C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71B75C2D" w14:textId="77777777">
        <w:trPr>
          <w:jc w:val="center"/>
        </w:trPr>
        <w:tc>
          <w:tcPr>
            <w:tcW w:w="4309" w:type="dxa"/>
            <w:vAlign w:val="center"/>
          </w:tcPr>
          <w:p w14:paraId="4BAF902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Возрастная группа (дети)</w:t>
            </w:r>
          </w:p>
        </w:tc>
        <w:tc>
          <w:tcPr>
            <w:tcW w:w="1701" w:type="dxa"/>
            <w:vAlign w:val="center"/>
          </w:tcPr>
          <w:p w14:paraId="2939120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1,39</w:t>
            </w:r>
          </w:p>
        </w:tc>
        <w:tc>
          <w:tcPr>
            <w:tcW w:w="1701" w:type="dxa"/>
            <w:vAlign w:val="center"/>
          </w:tcPr>
          <w:p w14:paraId="0D74D6A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1,21-1,59</w:t>
            </w:r>
          </w:p>
        </w:tc>
        <w:tc>
          <w:tcPr>
            <w:tcW w:w="1191" w:type="dxa"/>
            <w:vAlign w:val="center"/>
          </w:tcPr>
          <w:p w14:paraId="565ABAA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6B9A8D3D" w14:textId="77777777">
        <w:trPr>
          <w:jc w:val="center"/>
        </w:trPr>
        <w:tc>
          <w:tcPr>
            <w:tcW w:w="4309" w:type="dxa"/>
            <w:vAlign w:val="center"/>
          </w:tcPr>
          <w:p w14:paraId="22581D7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296E2B8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1128</w:t>
            </w:r>
          </w:p>
        </w:tc>
        <w:tc>
          <w:tcPr>
            <w:tcW w:w="1701" w:type="dxa"/>
            <w:vAlign w:val="center"/>
          </w:tcPr>
          <w:p w14:paraId="0288ABB8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503064DF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5EDF5E1C" w14:textId="77777777">
        <w:trPr>
          <w:jc w:val="center"/>
        </w:trPr>
        <w:tc>
          <w:tcPr>
            <w:tcW w:w="4309" w:type="dxa"/>
            <w:vAlign w:val="center"/>
          </w:tcPr>
          <w:p w14:paraId="23293FE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0085DD4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0,599</w:t>
            </w:r>
          </w:p>
        </w:tc>
        <w:tc>
          <w:tcPr>
            <w:tcW w:w="1701" w:type="dxa"/>
            <w:vAlign w:val="center"/>
          </w:tcPr>
          <w:p w14:paraId="2A86F4DD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166C96BC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3A2A3605" w14:textId="77777777" w:rsidR="00DD641D" w:rsidRDefault="00DD641D"/>
    <w:p w14:paraId="006737E2" w14:textId="77777777" w:rsidR="00DD641D" w:rsidRDefault="00000000">
      <w:pPr>
        <w:spacing w:after="160"/>
      </w:pPr>
      <w:r>
        <w:rPr>
          <w:i/>
        </w:rPr>
        <w:t>IGDS - Internet Gaming Disorder Scale; DERS - Difficulties in Emotion Regulation Scale; PFS - Procrastination Questionnaire for Students; суммарные баллы DERS и PFS z-стандартизированы; ДИ - доверительный интервал; возрастные группы включали детей (10-13 лет) и подростков (14-17 лет); уровень значимости: p* &lt; 0,05, p** &lt; 0,01, p*** &lt; 0,001.</w:t>
      </w:r>
    </w:p>
    <w:p w14:paraId="12D79951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Анализ подвыборок на исходном этапе</w:t>
      </w:r>
    </w:p>
    <w:p w14:paraId="74218573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Чтобы лучше понять возрастную роль </w:t>
      </w:r>
      <w:r>
        <w:t>ER</w:t>
      </w:r>
      <w:r w:rsidRPr="00EB7815">
        <w:rPr>
          <w:lang w:val="ru-RU"/>
        </w:rPr>
        <w:t xml:space="preserve"> в </w:t>
      </w:r>
      <w:r>
        <w:t>PG</w:t>
      </w:r>
      <w:r w:rsidRPr="00EB7815">
        <w:rPr>
          <w:lang w:val="ru-RU"/>
        </w:rPr>
        <w:t xml:space="preserve">, различные аспекты </w:t>
      </w:r>
      <w:r>
        <w:t>ER</w:t>
      </w:r>
      <w:r w:rsidRPr="00EB7815">
        <w:rPr>
          <w:lang w:val="ru-RU"/>
        </w:rPr>
        <w:t xml:space="preserve"> были отдельно изучены в возрастных группах с контролем пола (табл. 3). У детей с большим числом симптомов </w:t>
      </w:r>
      <w:r>
        <w:t>PG</w:t>
      </w:r>
      <w:r w:rsidRPr="00EB7815">
        <w:rPr>
          <w:lang w:val="ru-RU"/>
        </w:rPr>
        <w:t xml:space="preserve"> были значимо связаны недостаточная эмоциональная ясность и дефициты эмоциональной осознанности. У подростков, напротив, значимым предиктором симптомов </w:t>
      </w:r>
      <w:r>
        <w:t>PG</w:t>
      </w:r>
      <w:r w:rsidRPr="00EB7815">
        <w:rPr>
          <w:lang w:val="ru-RU"/>
        </w:rPr>
        <w:t xml:space="preserve"> выступало непринятие эмоциональных реакций. Более высокая прокрастинация и мужской пол как ковариата были значимо связаны с </w:t>
      </w:r>
      <w:r>
        <w:t>PG</w:t>
      </w:r>
      <w:r w:rsidRPr="00EB7815">
        <w:rPr>
          <w:lang w:val="ru-RU"/>
        </w:rPr>
        <w:t xml:space="preserve"> в обеих подвыборках.</w:t>
      </w:r>
    </w:p>
    <w:p w14:paraId="450990DB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3. Дифференциальные характеристики регуляции эмоций как факторы риска проблемного игрового поведения: дети и подростки</w:t>
      </w:r>
    </w:p>
    <w:p w14:paraId="1B070C2F" w14:textId="77777777" w:rsidR="00DD641D" w:rsidRDefault="00000000">
      <w:pPr>
        <w:spacing w:after="60"/>
      </w:pPr>
      <w:r>
        <w:rPr>
          <w:b/>
        </w:rPr>
        <w:t>Дети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10868F5F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786B2CC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42A0E578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3190021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7CACE97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60537F36" w14:textId="77777777">
        <w:trPr>
          <w:jc w:val="center"/>
        </w:trPr>
        <w:tc>
          <w:tcPr>
            <w:tcW w:w="4309" w:type="dxa"/>
            <w:vAlign w:val="center"/>
          </w:tcPr>
          <w:p w14:paraId="1536E81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lastRenderedPageBreak/>
              <w:t>(Константа)</w:t>
            </w:r>
          </w:p>
        </w:tc>
        <w:tc>
          <w:tcPr>
            <w:tcW w:w="1701" w:type="dxa"/>
            <w:vAlign w:val="center"/>
          </w:tcPr>
          <w:p w14:paraId="76724CC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0,19</w:t>
            </w:r>
          </w:p>
        </w:tc>
        <w:tc>
          <w:tcPr>
            <w:tcW w:w="1701" w:type="dxa"/>
            <w:vAlign w:val="center"/>
          </w:tcPr>
          <w:p w14:paraId="19F8AF1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0,13-0,28</w:t>
            </w:r>
          </w:p>
        </w:tc>
        <w:tc>
          <w:tcPr>
            <w:tcW w:w="1191" w:type="dxa"/>
            <w:vAlign w:val="center"/>
          </w:tcPr>
          <w:p w14:paraId="7461A06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75C772B1" w14:textId="77777777">
        <w:trPr>
          <w:jc w:val="center"/>
        </w:trPr>
        <w:tc>
          <w:tcPr>
            <w:tcW w:w="4309" w:type="dxa"/>
            <w:vAlign w:val="center"/>
          </w:tcPr>
          <w:p w14:paraId="7E4414C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Подшкалы DERS</w:t>
            </w:r>
          </w:p>
        </w:tc>
        <w:tc>
          <w:tcPr>
            <w:tcW w:w="1701" w:type="dxa"/>
            <w:vAlign w:val="center"/>
          </w:tcPr>
          <w:p w14:paraId="14DD1DA9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01C7A54E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31D4AB2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7B2CFC14" w14:textId="77777777">
        <w:trPr>
          <w:jc w:val="center"/>
        </w:trPr>
        <w:tc>
          <w:tcPr>
            <w:tcW w:w="4309" w:type="dxa"/>
            <w:vAlign w:val="center"/>
          </w:tcPr>
          <w:p w14:paraId="7F87F3F2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Стратегии</w:t>
            </w:r>
          </w:p>
        </w:tc>
        <w:tc>
          <w:tcPr>
            <w:tcW w:w="1701" w:type="dxa"/>
            <w:vAlign w:val="center"/>
          </w:tcPr>
          <w:p w14:paraId="1DA690A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1,14</w:t>
            </w:r>
          </w:p>
        </w:tc>
        <w:tc>
          <w:tcPr>
            <w:tcW w:w="1701" w:type="dxa"/>
            <w:vAlign w:val="center"/>
          </w:tcPr>
          <w:p w14:paraId="1A08861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1,00-1,29</w:t>
            </w:r>
          </w:p>
        </w:tc>
        <w:tc>
          <w:tcPr>
            <w:tcW w:w="1191" w:type="dxa"/>
            <w:vAlign w:val="center"/>
          </w:tcPr>
          <w:p w14:paraId="540C693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0,058</w:t>
            </w:r>
          </w:p>
        </w:tc>
      </w:tr>
      <w:tr w:rsidR="00DD641D" w14:paraId="6E81AC54" w14:textId="77777777">
        <w:trPr>
          <w:jc w:val="center"/>
        </w:trPr>
        <w:tc>
          <w:tcPr>
            <w:tcW w:w="4309" w:type="dxa"/>
            <w:vAlign w:val="center"/>
          </w:tcPr>
          <w:p w14:paraId="07CF85B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Непринятие</w:t>
            </w:r>
          </w:p>
        </w:tc>
        <w:tc>
          <w:tcPr>
            <w:tcW w:w="1701" w:type="dxa"/>
            <w:vAlign w:val="center"/>
          </w:tcPr>
          <w:p w14:paraId="3F48F63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0,98</w:t>
            </w:r>
          </w:p>
        </w:tc>
        <w:tc>
          <w:tcPr>
            <w:tcW w:w="1701" w:type="dxa"/>
            <w:vAlign w:val="center"/>
          </w:tcPr>
          <w:p w14:paraId="6D1ACC8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0,88-1,10</w:t>
            </w:r>
          </w:p>
        </w:tc>
        <w:tc>
          <w:tcPr>
            <w:tcW w:w="1191" w:type="dxa"/>
            <w:vAlign w:val="center"/>
          </w:tcPr>
          <w:p w14:paraId="3824955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0,726</w:t>
            </w:r>
          </w:p>
        </w:tc>
      </w:tr>
      <w:tr w:rsidR="00DD641D" w14:paraId="76FCDA75" w14:textId="77777777">
        <w:trPr>
          <w:jc w:val="center"/>
        </w:trPr>
        <w:tc>
          <w:tcPr>
            <w:tcW w:w="4309" w:type="dxa"/>
            <w:vAlign w:val="center"/>
          </w:tcPr>
          <w:p w14:paraId="7FBCF32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Импульсивность</w:t>
            </w:r>
          </w:p>
        </w:tc>
        <w:tc>
          <w:tcPr>
            <w:tcW w:w="1701" w:type="dxa"/>
            <w:vAlign w:val="center"/>
          </w:tcPr>
          <w:p w14:paraId="0EC9C4F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0,99</w:t>
            </w:r>
          </w:p>
        </w:tc>
        <w:tc>
          <w:tcPr>
            <w:tcW w:w="1701" w:type="dxa"/>
            <w:vAlign w:val="center"/>
          </w:tcPr>
          <w:p w14:paraId="6D95F37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0,89-1,10</w:t>
            </w:r>
          </w:p>
        </w:tc>
        <w:tc>
          <w:tcPr>
            <w:tcW w:w="1191" w:type="dxa"/>
            <w:vAlign w:val="center"/>
          </w:tcPr>
          <w:p w14:paraId="2CA953B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0,849</w:t>
            </w:r>
          </w:p>
        </w:tc>
      </w:tr>
      <w:tr w:rsidR="00DD641D" w14:paraId="730E214B" w14:textId="77777777">
        <w:trPr>
          <w:jc w:val="center"/>
        </w:trPr>
        <w:tc>
          <w:tcPr>
            <w:tcW w:w="4309" w:type="dxa"/>
            <w:vAlign w:val="center"/>
          </w:tcPr>
          <w:p w14:paraId="5D55B1F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Целенаправленное поведение</w:t>
            </w:r>
          </w:p>
        </w:tc>
        <w:tc>
          <w:tcPr>
            <w:tcW w:w="1701" w:type="dxa"/>
            <w:vAlign w:val="center"/>
          </w:tcPr>
          <w:p w14:paraId="3B98328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1,13</w:t>
            </w:r>
          </w:p>
        </w:tc>
        <w:tc>
          <w:tcPr>
            <w:tcW w:w="1701" w:type="dxa"/>
            <w:vAlign w:val="center"/>
          </w:tcPr>
          <w:p w14:paraId="58D860C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0,99-1,28</w:t>
            </w:r>
          </w:p>
        </w:tc>
        <w:tc>
          <w:tcPr>
            <w:tcW w:w="1191" w:type="dxa"/>
            <w:vAlign w:val="center"/>
          </w:tcPr>
          <w:p w14:paraId="0005A16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0,064</w:t>
            </w:r>
          </w:p>
        </w:tc>
      </w:tr>
      <w:tr w:rsidR="00DD641D" w14:paraId="0336601F" w14:textId="77777777">
        <w:trPr>
          <w:jc w:val="center"/>
        </w:trPr>
        <w:tc>
          <w:tcPr>
            <w:tcW w:w="4309" w:type="dxa"/>
            <w:vAlign w:val="center"/>
          </w:tcPr>
          <w:p w14:paraId="0020268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Ясность</w:t>
            </w:r>
          </w:p>
        </w:tc>
        <w:tc>
          <w:tcPr>
            <w:tcW w:w="1701" w:type="dxa"/>
            <w:vAlign w:val="center"/>
          </w:tcPr>
          <w:p w14:paraId="6C728FB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1,17</w:t>
            </w:r>
          </w:p>
        </w:tc>
        <w:tc>
          <w:tcPr>
            <w:tcW w:w="1701" w:type="dxa"/>
            <w:vAlign w:val="center"/>
          </w:tcPr>
          <w:p w14:paraId="0200195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1,05-1,29</w:t>
            </w:r>
          </w:p>
        </w:tc>
        <w:tc>
          <w:tcPr>
            <w:tcW w:w="1191" w:type="dxa"/>
            <w:vAlign w:val="center"/>
          </w:tcPr>
          <w:p w14:paraId="58D8761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0,003**</w:t>
            </w:r>
          </w:p>
        </w:tc>
      </w:tr>
      <w:tr w:rsidR="00DD641D" w14:paraId="2E632157" w14:textId="77777777">
        <w:trPr>
          <w:jc w:val="center"/>
        </w:trPr>
        <w:tc>
          <w:tcPr>
            <w:tcW w:w="4309" w:type="dxa"/>
            <w:vAlign w:val="center"/>
          </w:tcPr>
          <w:p w14:paraId="581225A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Осознанность</w:t>
            </w:r>
          </w:p>
        </w:tc>
        <w:tc>
          <w:tcPr>
            <w:tcW w:w="1701" w:type="dxa"/>
            <w:vAlign w:val="center"/>
          </w:tcPr>
          <w:p w14:paraId="4B3A7D5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1,12</w:t>
            </w:r>
          </w:p>
        </w:tc>
        <w:tc>
          <w:tcPr>
            <w:tcW w:w="1701" w:type="dxa"/>
            <w:vAlign w:val="center"/>
          </w:tcPr>
          <w:p w14:paraId="1DE63F2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1,03-1,22</w:t>
            </w:r>
          </w:p>
        </w:tc>
        <w:tc>
          <w:tcPr>
            <w:tcW w:w="1191" w:type="dxa"/>
            <w:vAlign w:val="center"/>
          </w:tcPr>
          <w:p w14:paraId="251193E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0,010**</w:t>
            </w:r>
          </w:p>
        </w:tc>
      </w:tr>
      <w:tr w:rsidR="00DD641D" w14:paraId="5F6F0A20" w14:textId="77777777">
        <w:trPr>
          <w:jc w:val="center"/>
        </w:trPr>
        <w:tc>
          <w:tcPr>
            <w:tcW w:w="4309" w:type="dxa"/>
            <w:vAlign w:val="center"/>
          </w:tcPr>
          <w:p w14:paraId="2C02D11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</w:t>
            </w:r>
          </w:p>
        </w:tc>
        <w:tc>
          <w:tcPr>
            <w:tcW w:w="1701" w:type="dxa"/>
            <w:vAlign w:val="center"/>
          </w:tcPr>
          <w:p w14:paraId="031C019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1,32</w:t>
            </w:r>
          </w:p>
        </w:tc>
        <w:tc>
          <w:tcPr>
            <w:tcW w:w="1701" w:type="dxa"/>
            <w:vAlign w:val="center"/>
          </w:tcPr>
          <w:p w14:paraId="647624C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1,20-1,44</w:t>
            </w:r>
          </w:p>
        </w:tc>
        <w:tc>
          <w:tcPr>
            <w:tcW w:w="1191" w:type="dxa"/>
            <w:vAlign w:val="center"/>
          </w:tcPr>
          <w:p w14:paraId="236E744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58CF1B28" w14:textId="77777777">
        <w:trPr>
          <w:jc w:val="center"/>
        </w:trPr>
        <w:tc>
          <w:tcPr>
            <w:tcW w:w="4309" w:type="dxa"/>
            <w:vAlign w:val="center"/>
          </w:tcPr>
          <w:p w14:paraId="41E45B0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Ковариата</w:t>
            </w:r>
          </w:p>
        </w:tc>
        <w:tc>
          <w:tcPr>
            <w:tcW w:w="1701" w:type="dxa"/>
            <w:vAlign w:val="center"/>
          </w:tcPr>
          <w:p w14:paraId="7084B02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6679C6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F5A5DD9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1E7859DE" w14:textId="77777777">
        <w:trPr>
          <w:jc w:val="center"/>
        </w:trPr>
        <w:tc>
          <w:tcPr>
            <w:tcW w:w="4309" w:type="dxa"/>
            <w:vAlign w:val="center"/>
          </w:tcPr>
          <w:p w14:paraId="1C51B8C2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Пол (мальчики)</w:t>
            </w:r>
          </w:p>
        </w:tc>
        <w:tc>
          <w:tcPr>
            <w:tcW w:w="1701" w:type="dxa"/>
            <w:vAlign w:val="center"/>
          </w:tcPr>
          <w:p w14:paraId="06299B2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1,69</w:t>
            </w:r>
          </w:p>
        </w:tc>
        <w:tc>
          <w:tcPr>
            <w:tcW w:w="1701" w:type="dxa"/>
            <w:vAlign w:val="center"/>
          </w:tcPr>
          <w:p w14:paraId="0533101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1,42-2,01</w:t>
            </w:r>
          </w:p>
        </w:tc>
        <w:tc>
          <w:tcPr>
            <w:tcW w:w="1191" w:type="dxa"/>
            <w:vAlign w:val="center"/>
          </w:tcPr>
          <w:p w14:paraId="12FD678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5BE3C45B" w14:textId="77777777">
        <w:trPr>
          <w:jc w:val="center"/>
        </w:trPr>
        <w:tc>
          <w:tcPr>
            <w:tcW w:w="4309" w:type="dxa"/>
            <w:vAlign w:val="center"/>
          </w:tcPr>
          <w:p w14:paraId="0A1C4E4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7AF2B45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627</w:t>
            </w:r>
          </w:p>
        </w:tc>
        <w:tc>
          <w:tcPr>
            <w:tcW w:w="1701" w:type="dxa"/>
            <w:vAlign w:val="center"/>
          </w:tcPr>
          <w:p w14:paraId="4BFDEF5C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7D4704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4DFED861" w14:textId="77777777">
        <w:trPr>
          <w:jc w:val="center"/>
        </w:trPr>
        <w:tc>
          <w:tcPr>
            <w:tcW w:w="4309" w:type="dxa"/>
            <w:vAlign w:val="center"/>
          </w:tcPr>
          <w:p w14:paraId="4BF0C73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6F17D2A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0,568</w:t>
            </w:r>
          </w:p>
        </w:tc>
        <w:tc>
          <w:tcPr>
            <w:tcW w:w="1701" w:type="dxa"/>
            <w:vAlign w:val="center"/>
          </w:tcPr>
          <w:p w14:paraId="7FFA82E0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87BBC97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44BFCDD1" w14:textId="77777777" w:rsidR="00DD641D" w:rsidRDefault="00DD641D"/>
    <w:p w14:paraId="0D4796D5" w14:textId="77777777" w:rsidR="00DD641D" w:rsidRDefault="00000000">
      <w:pPr>
        <w:spacing w:after="60"/>
      </w:pPr>
      <w:r>
        <w:rPr>
          <w:b/>
        </w:rPr>
        <w:t>Подростки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6C9AD1DB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0E721CEF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4ACCAF1A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29664DB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54C03414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48C9904A" w14:textId="77777777">
        <w:trPr>
          <w:jc w:val="center"/>
        </w:trPr>
        <w:tc>
          <w:tcPr>
            <w:tcW w:w="4309" w:type="dxa"/>
            <w:vAlign w:val="center"/>
          </w:tcPr>
          <w:p w14:paraId="0A71C2A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494589D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0,12</w:t>
            </w:r>
          </w:p>
        </w:tc>
        <w:tc>
          <w:tcPr>
            <w:tcW w:w="1701" w:type="dxa"/>
            <w:vAlign w:val="center"/>
          </w:tcPr>
          <w:p w14:paraId="0BC6AD2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0,07-0,20</w:t>
            </w:r>
          </w:p>
        </w:tc>
        <w:tc>
          <w:tcPr>
            <w:tcW w:w="1191" w:type="dxa"/>
            <w:vAlign w:val="center"/>
          </w:tcPr>
          <w:p w14:paraId="5FEE01D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618FB068" w14:textId="77777777">
        <w:trPr>
          <w:jc w:val="center"/>
        </w:trPr>
        <w:tc>
          <w:tcPr>
            <w:tcW w:w="4309" w:type="dxa"/>
            <w:vAlign w:val="center"/>
          </w:tcPr>
          <w:p w14:paraId="77B13208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Подшкалы DERS</w:t>
            </w:r>
          </w:p>
        </w:tc>
        <w:tc>
          <w:tcPr>
            <w:tcW w:w="1701" w:type="dxa"/>
            <w:vAlign w:val="center"/>
          </w:tcPr>
          <w:p w14:paraId="63D9643A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25E6E08F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25419F79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6D8339D3" w14:textId="77777777">
        <w:trPr>
          <w:jc w:val="center"/>
        </w:trPr>
        <w:tc>
          <w:tcPr>
            <w:tcW w:w="4309" w:type="dxa"/>
            <w:vAlign w:val="center"/>
          </w:tcPr>
          <w:p w14:paraId="606F829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Стратегии</w:t>
            </w:r>
          </w:p>
        </w:tc>
        <w:tc>
          <w:tcPr>
            <w:tcW w:w="1701" w:type="dxa"/>
            <w:vAlign w:val="center"/>
          </w:tcPr>
          <w:p w14:paraId="30F28C0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701" w:type="dxa"/>
            <w:vAlign w:val="center"/>
          </w:tcPr>
          <w:p w14:paraId="63F32EA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0,87-1,24</w:t>
            </w:r>
          </w:p>
        </w:tc>
        <w:tc>
          <w:tcPr>
            <w:tcW w:w="1191" w:type="dxa"/>
            <w:vAlign w:val="center"/>
          </w:tcPr>
          <w:p w14:paraId="0351A06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0,648</w:t>
            </w:r>
          </w:p>
        </w:tc>
      </w:tr>
      <w:tr w:rsidR="00DD641D" w14:paraId="7DD59D93" w14:textId="77777777">
        <w:trPr>
          <w:jc w:val="center"/>
        </w:trPr>
        <w:tc>
          <w:tcPr>
            <w:tcW w:w="4309" w:type="dxa"/>
            <w:vAlign w:val="center"/>
          </w:tcPr>
          <w:p w14:paraId="5E4E4C8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Непринятие</w:t>
            </w:r>
          </w:p>
        </w:tc>
        <w:tc>
          <w:tcPr>
            <w:tcW w:w="1701" w:type="dxa"/>
            <w:vAlign w:val="center"/>
          </w:tcPr>
          <w:p w14:paraId="7CDA2DE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1,20</w:t>
            </w:r>
          </w:p>
        </w:tc>
        <w:tc>
          <w:tcPr>
            <w:tcW w:w="1701" w:type="dxa"/>
            <w:vAlign w:val="center"/>
          </w:tcPr>
          <w:p w14:paraId="592001D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1,02-1,41</w:t>
            </w:r>
          </w:p>
        </w:tc>
        <w:tc>
          <w:tcPr>
            <w:tcW w:w="1191" w:type="dxa"/>
            <w:vAlign w:val="center"/>
          </w:tcPr>
          <w:p w14:paraId="3BF33F7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0,027*</w:t>
            </w:r>
          </w:p>
        </w:tc>
      </w:tr>
      <w:tr w:rsidR="00DD641D" w14:paraId="7E5FEC27" w14:textId="77777777">
        <w:trPr>
          <w:jc w:val="center"/>
        </w:trPr>
        <w:tc>
          <w:tcPr>
            <w:tcW w:w="4309" w:type="dxa"/>
            <w:vAlign w:val="center"/>
          </w:tcPr>
          <w:p w14:paraId="070B143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Импульсивность</w:t>
            </w:r>
          </w:p>
        </w:tc>
        <w:tc>
          <w:tcPr>
            <w:tcW w:w="1701" w:type="dxa"/>
            <w:vAlign w:val="center"/>
          </w:tcPr>
          <w:p w14:paraId="4F12D5D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701" w:type="dxa"/>
            <w:vAlign w:val="center"/>
          </w:tcPr>
          <w:p w14:paraId="20A2C03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0,90-1,20</w:t>
            </w:r>
          </w:p>
        </w:tc>
        <w:tc>
          <w:tcPr>
            <w:tcW w:w="1191" w:type="dxa"/>
            <w:vAlign w:val="center"/>
          </w:tcPr>
          <w:p w14:paraId="1EB41A4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0,629</w:t>
            </w:r>
          </w:p>
        </w:tc>
      </w:tr>
      <w:tr w:rsidR="00DD641D" w14:paraId="332A052E" w14:textId="77777777">
        <w:trPr>
          <w:jc w:val="center"/>
        </w:trPr>
        <w:tc>
          <w:tcPr>
            <w:tcW w:w="4309" w:type="dxa"/>
            <w:vAlign w:val="center"/>
          </w:tcPr>
          <w:p w14:paraId="40F38B6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Целенаправленное поведение</w:t>
            </w:r>
          </w:p>
        </w:tc>
        <w:tc>
          <w:tcPr>
            <w:tcW w:w="1701" w:type="dxa"/>
            <w:vAlign w:val="center"/>
          </w:tcPr>
          <w:p w14:paraId="5A36E1C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1,15</w:t>
            </w:r>
          </w:p>
        </w:tc>
        <w:tc>
          <w:tcPr>
            <w:tcW w:w="1701" w:type="dxa"/>
            <w:vAlign w:val="center"/>
          </w:tcPr>
          <w:p w14:paraId="06806B7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0,97-1,36</w:t>
            </w:r>
          </w:p>
        </w:tc>
        <w:tc>
          <w:tcPr>
            <w:tcW w:w="1191" w:type="dxa"/>
            <w:vAlign w:val="center"/>
          </w:tcPr>
          <w:p w14:paraId="07A72B0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0,116</w:t>
            </w:r>
          </w:p>
        </w:tc>
      </w:tr>
      <w:tr w:rsidR="00DD641D" w14:paraId="1CD03BD0" w14:textId="77777777">
        <w:trPr>
          <w:jc w:val="center"/>
        </w:trPr>
        <w:tc>
          <w:tcPr>
            <w:tcW w:w="4309" w:type="dxa"/>
            <w:vAlign w:val="center"/>
          </w:tcPr>
          <w:p w14:paraId="6E158F8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Ясность</w:t>
            </w:r>
          </w:p>
        </w:tc>
        <w:tc>
          <w:tcPr>
            <w:tcW w:w="1701" w:type="dxa"/>
            <w:vAlign w:val="center"/>
          </w:tcPr>
          <w:p w14:paraId="4C30E5E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1,02</w:t>
            </w:r>
          </w:p>
        </w:tc>
        <w:tc>
          <w:tcPr>
            <w:tcW w:w="1701" w:type="dxa"/>
            <w:vAlign w:val="center"/>
          </w:tcPr>
          <w:p w14:paraId="0AF05B9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0,88-1,18</w:t>
            </w:r>
          </w:p>
        </w:tc>
        <w:tc>
          <w:tcPr>
            <w:tcW w:w="1191" w:type="dxa"/>
            <w:vAlign w:val="center"/>
          </w:tcPr>
          <w:p w14:paraId="41F6315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0,795</w:t>
            </w:r>
          </w:p>
        </w:tc>
      </w:tr>
      <w:tr w:rsidR="00DD641D" w14:paraId="63F68E6A" w14:textId="77777777">
        <w:trPr>
          <w:jc w:val="center"/>
        </w:trPr>
        <w:tc>
          <w:tcPr>
            <w:tcW w:w="4309" w:type="dxa"/>
            <w:vAlign w:val="center"/>
          </w:tcPr>
          <w:p w14:paraId="7B93668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Осознанность</w:t>
            </w:r>
          </w:p>
        </w:tc>
        <w:tc>
          <w:tcPr>
            <w:tcW w:w="1701" w:type="dxa"/>
            <w:vAlign w:val="center"/>
          </w:tcPr>
          <w:p w14:paraId="60D19D0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1,02</w:t>
            </w:r>
          </w:p>
        </w:tc>
        <w:tc>
          <w:tcPr>
            <w:tcW w:w="1701" w:type="dxa"/>
            <w:vAlign w:val="center"/>
          </w:tcPr>
          <w:p w14:paraId="6481770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0,90-1,15</w:t>
            </w:r>
          </w:p>
        </w:tc>
        <w:tc>
          <w:tcPr>
            <w:tcW w:w="1191" w:type="dxa"/>
            <w:vAlign w:val="center"/>
          </w:tcPr>
          <w:p w14:paraId="55C0E3F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0,792</w:t>
            </w:r>
          </w:p>
        </w:tc>
      </w:tr>
      <w:tr w:rsidR="00DD641D" w14:paraId="30213BF1" w14:textId="77777777">
        <w:trPr>
          <w:jc w:val="center"/>
        </w:trPr>
        <w:tc>
          <w:tcPr>
            <w:tcW w:w="4309" w:type="dxa"/>
            <w:vAlign w:val="center"/>
          </w:tcPr>
          <w:p w14:paraId="04C252E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</w:t>
            </w:r>
          </w:p>
        </w:tc>
        <w:tc>
          <w:tcPr>
            <w:tcW w:w="1701" w:type="dxa"/>
            <w:vAlign w:val="center"/>
          </w:tcPr>
          <w:p w14:paraId="2DF2111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1,31</w:t>
            </w:r>
          </w:p>
        </w:tc>
        <w:tc>
          <w:tcPr>
            <w:tcW w:w="1701" w:type="dxa"/>
            <w:vAlign w:val="center"/>
          </w:tcPr>
          <w:p w14:paraId="3A86CEF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1,15-1,50</w:t>
            </w:r>
          </w:p>
        </w:tc>
        <w:tc>
          <w:tcPr>
            <w:tcW w:w="1191" w:type="dxa"/>
            <w:vAlign w:val="center"/>
          </w:tcPr>
          <w:p w14:paraId="60BF90C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7A7AF975" w14:textId="77777777">
        <w:trPr>
          <w:jc w:val="center"/>
        </w:trPr>
        <w:tc>
          <w:tcPr>
            <w:tcW w:w="4309" w:type="dxa"/>
            <w:vAlign w:val="center"/>
          </w:tcPr>
          <w:p w14:paraId="060561C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Ковариата</w:t>
            </w:r>
          </w:p>
        </w:tc>
        <w:tc>
          <w:tcPr>
            <w:tcW w:w="1701" w:type="dxa"/>
            <w:vAlign w:val="center"/>
          </w:tcPr>
          <w:p w14:paraId="1783A40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3038202B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436EEFB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38A55AD" w14:textId="77777777">
        <w:trPr>
          <w:jc w:val="center"/>
        </w:trPr>
        <w:tc>
          <w:tcPr>
            <w:tcW w:w="4309" w:type="dxa"/>
            <w:vAlign w:val="center"/>
          </w:tcPr>
          <w:p w14:paraId="5AC0FB7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Пол (мальчики)</w:t>
            </w:r>
          </w:p>
        </w:tc>
        <w:tc>
          <w:tcPr>
            <w:tcW w:w="1701" w:type="dxa"/>
            <w:vAlign w:val="center"/>
          </w:tcPr>
          <w:p w14:paraId="387B9E6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2,99</w:t>
            </w:r>
          </w:p>
        </w:tc>
        <w:tc>
          <w:tcPr>
            <w:tcW w:w="1701" w:type="dxa"/>
            <w:vAlign w:val="center"/>
          </w:tcPr>
          <w:p w14:paraId="7977D82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2,25-3,98</w:t>
            </w:r>
          </w:p>
        </w:tc>
        <w:tc>
          <w:tcPr>
            <w:tcW w:w="1191" w:type="dxa"/>
            <w:vAlign w:val="center"/>
          </w:tcPr>
          <w:p w14:paraId="05AB9BF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3D85E07F" w14:textId="77777777">
        <w:trPr>
          <w:jc w:val="center"/>
        </w:trPr>
        <w:tc>
          <w:tcPr>
            <w:tcW w:w="4309" w:type="dxa"/>
            <w:vAlign w:val="center"/>
          </w:tcPr>
          <w:p w14:paraId="0D05A19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2C16071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462</w:t>
            </w:r>
          </w:p>
        </w:tc>
        <w:tc>
          <w:tcPr>
            <w:tcW w:w="1701" w:type="dxa"/>
            <w:vAlign w:val="center"/>
          </w:tcPr>
          <w:p w14:paraId="641AA4EA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D35A19C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3578E30D" w14:textId="77777777">
        <w:trPr>
          <w:jc w:val="center"/>
        </w:trPr>
        <w:tc>
          <w:tcPr>
            <w:tcW w:w="4309" w:type="dxa"/>
            <w:vAlign w:val="center"/>
          </w:tcPr>
          <w:p w14:paraId="5402478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767E9BE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0,640</w:t>
            </w:r>
          </w:p>
        </w:tc>
        <w:tc>
          <w:tcPr>
            <w:tcW w:w="1701" w:type="dxa"/>
            <w:vAlign w:val="center"/>
          </w:tcPr>
          <w:p w14:paraId="7230881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AE10490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79AB4249" w14:textId="77777777" w:rsidR="00DD641D" w:rsidRDefault="00DD641D"/>
    <w:p w14:paraId="3A1ADF2F" w14:textId="77777777" w:rsidR="00DD641D" w:rsidRDefault="00000000">
      <w:pPr>
        <w:spacing w:after="160"/>
      </w:pPr>
      <w:r w:rsidRPr="00EB7815">
        <w:rPr>
          <w:i/>
          <w:lang w:val="ru-RU"/>
        </w:rPr>
        <w:t xml:space="preserve">Возрастные группы включали детей (10-13 лет) и подростков (14-17 лет); уровень значимости: </w:t>
      </w:r>
      <w:r>
        <w:rPr>
          <w:i/>
        </w:rPr>
        <w:t>p</w:t>
      </w:r>
      <w:r w:rsidRPr="00EB7815">
        <w:rPr>
          <w:i/>
          <w:lang w:val="ru-RU"/>
        </w:rPr>
        <w:t xml:space="preserve">* &lt; 0,05, </w:t>
      </w:r>
      <w:r>
        <w:rPr>
          <w:i/>
        </w:rPr>
        <w:t>p</w:t>
      </w:r>
      <w:r w:rsidRPr="00EB7815">
        <w:rPr>
          <w:i/>
          <w:lang w:val="ru-RU"/>
        </w:rPr>
        <w:t xml:space="preserve">** &lt; 0,01, </w:t>
      </w:r>
      <w:r>
        <w:rPr>
          <w:i/>
        </w:rPr>
        <w:t>p</w:t>
      </w:r>
      <w:r w:rsidRPr="00EB7815">
        <w:rPr>
          <w:i/>
          <w:lang w:val="ru-RU"/>
        </w:rPr>
        <w:t xml:space="preserve">*** &lt; 0,001. </w:t>
      </w:r>
      <w:r>
        <w:rPr>
          <w:i/>
        </w:rPr>
        <w:t>IGDS - Internet Gaming Disorder Scale; DERS - Difficulties in Emotion Regulation Scale; PFS - Procrastination Questionnaire for Students; суммарные баллы DERS и PFS z-стандартизированы; ДИ - доверительный интервал.</w:t>
      </w:r>
    </w:p>
    <w:p w14:paraId="33F0E0DF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Что касается гендерных различий (с контролем возрастной группы), анализ подгрупп девочек и мальчиков показал, что у мальчиков большее число симптомов </w:t>
      </w:r>
      <w:r>
        <w:t>PG</w:t>
      </w:r>
      <w:r w:rsidRPr="00EB7815">
        <w:rPr>
          <w:lang w:val="ru-RU"/>
        </w:rPr>
        <w:t xml:space="preserve"> было связано с более выраженными дефицитами целенаправленного поведения и эмоциональной осознанности. У девочек значимыми предикторами более высоких значений </w:t>
      </w:r>
      <w:r>
        <w:t>PG</w:t>
      </w:r>
      <w:r w:rsidRPr="00EB7815">
        <w:rPr>
          <w:lang w:val="ru-RU"/>
        </w:rPr>
        <w:t xml:space="preserve">, напротив, были более выраженное непринятие эмоциональных реакций и недостаточная эмоциональная ясность. Более высокие показатели прокрастинации были значимо связаны с более высокими значениями </w:t>
      </w:r>
      <w:r>
        <w:t>PG</w:t>
      </w:r>
      <w:r w:rsidRPr="00EB7815">
        <w:rPr>
          <w:lang w:val="ru-RU"/>
        </w:rPr>
        <w:t xml:space="preserve"> у подростков обоих полов (табл. 4).</w:t>
      </w:r>
    </w:p>
    <w:p w14:paraId="3AEF99D6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lastRenderedPageBreak/>
        <w:t>Таблица 4. Дифференциальные характеристики регуляции эмоций как факторы риска проблемного игрового поведения: мальчики и девочки</w:t>
      </w:r>
    </w:p>
    <w:p w14:paraId="14ED83E2" w14:textId="77777777" w:rsidR="00DD641D" w:rsidRDefault="00000000">
      <w:pPr>
        <w:spacing w:after="60"/>
      </w:pPr>
      <w:r>
        <w:rPr>
          <w:b/>
        </w:rPr>
        <w:t>Мальчики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41C954B8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76E9201B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6881B60D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5331EF82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3DBE1F73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46757025" w14:textId="77777777">
        <w:trPr>
          <w:jc w:val="center"/>
        </w:trPr>
        <w:tc>
          <w:tcPr>
            <w:tcW w:w="4309" w:type="dxa"/>
            <w:vAlign w:val="center"/>
          </w:tcPr>
          <w:p w14:paraId="63C3FDC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70EC449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0,32</w:t>
            </w:r>
          </w:p>
        </w:tc>
        <w:tc>
          <w:tcPr>
            <w:tcW w:w="1701" w:type="dxa"/>
            <w:vAlign w:val="center"/>
          </w:tcPr>
          <w:p w14:paraId="33111C2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0,22-0,48</w:t>
            </w:r>
          </w:p>
        </w:tc>
        <w:tc>
          <w:tcPr>
            <w:tcW w:w="1191" w:type="dxa"/>
            <w:vAlign w:val="center"/>
          </w:tcPr>
          <w:p w14:paraId="32717A8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10B88953" w14:textId="77777777">
        <w:trPr>
          <w:jc w:val="center"/>
        </w:trPr>
        <w:tc>
          <w:tcPr>
            <w:tcW w:w="4309" w:type="dxa"/>
            <w:vAlign w:val="center"/>
          </w:tcPr>
          <w:p w14:paraId="225C07A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Подшкалы DERS</w:t>
            </w:r>
          </w:p>
        </w:tc>
        <w:tc>
          <w:tcPr>
            <w:tcW w:w="1701" w:type="dxa"/>
            <w:vAlign w:val="center"/>
          </w:tcPr>
          <w:p w14:paraId="3F9E145E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2E80224E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04B0E11B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0B8C1A50" w14:textId="77777777">
        <w:trPr>
          <w:jc w:val="center"/>
        </w:trPr>
        <w:tc>
          <w:tcPr>
            <w:tcW w:w="4309" w:type="dxa"/>
            <w:vAlign w:val="center"/>
          </w:tcPr>
          <w:p w14:paraId="1278F7B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Стратегии</w:t>
            </w:r>
          </w:p>
        </w:tc>
        <w:tc>
          <w:tcPr>
            <w:tcW w:w="1701" w:type="dxa"/>
            <w:vAlign w:val="center"/>
          </w:tcPr>
          <w:p w14:paraId="45C3002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1,06</w:t>
            </w:r>
          </w:p>
        </w:tc>
        <w:tc>
          <w:tcPr>
            <w:tcW w:w="1701" w:type="dxa"/>
            <w:vAlign w:val="center"/>
          </w:tcPr>
          <w:p w14:paraId="64EA344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0,90-1,20</w:t>
            </w:r>
          </w:p>
        </w:tc>
        <w:tc>
          <w:tcPr>
            <w:tcW w:w="1191" w:type="dxa"/>
            <w:vAlign w:val="center"/>
          </w:tcPr>
          <w:p w14:paraId="07E5878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0,311</w:t>
            </w:r>
          </w:p>
        </w:tc>
      </w:tr>
      <w:tr w:rsidR="00DD641D" w14:paraId="75861A4F" w14:textId="77777777">
        <w:trPr>
          <w:jc w:val="center"/>
        </w:trPr>
        <w:tc>
          <w:tcPr>
            <w:tcW w:w="4309" w:type="dxa"/>
            <w:vAlign w:val="center"/>
          </w:tcPr>
          <w:p w14:paraId="18DA164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Непринятие</w:t>
            </w:r>
          </w:p>
        </w:tc>
        <w:tc>
          <w:tcPr>
            <w:tcW w:w="1701" w:type="dxa"/>
            <w:vAlign w:val="center"/>
          </w:tcPr>
          <w:p w14:paraId="01946F0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1,00</w:t>
            </w:r>
          </w:p>
        </w:tc>
        <w:tc>
          <w:tcPr>
            <w:tcW w:w="1701" w:type="dxa"/>
            <w:vAlign w:val="center"/>
          </w:tcPr>
          <w:p w14:paraId="3673B72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0,90-1,11</w:t>
            </w:r>
          </w:p>
        </w:tc>
        <w:tc>
          <w:tcPr>
            <w:tcW w:w="1191" w:type="dxa"/>
            <w:vAlign w:val="center"/>
          </w:tcPr>
          <w:p w14:paraId="1046570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0,976</w:t>
            </w:r>
          </w:p>
        </w:tc>
      </w:tr>
      <w:tr w:rsidR="00DD641D" w14:paraId="422C710E" w14:textId="77777777">
        <w:trPr>
          <w:jc w:val="center"/>
        </w:trPr>
        <w:tc>
          <w:tcPr>
            <w:tcW w:w="4309" w:type="dxa"/>
            <w:vAlign w:val="center"/>
          </w:tcPr>
          <w:p w14:paraId="34AC3652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Импульсивность</w:t>
            </w:r>
          </w:p>
        </w:tc>
        <w:tc>
          <w:tcPr>
            <w:tcW w:w="1701" w:type="dxa"/>
            <w:vAlign w:val="center"/>
          </w:tcPr>
          <w:p w14:paraId="4DACB7B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701" w:type="dxa"/>
            <w:vAlign w:val="center"/>
          </w:tcPr>
          <w:p w14:paraId="7611A03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0,94-1,16</w:t>
            </w:r>
          </w:p>
        </w:tc>
        <w:tc>
          <w:tcPr>
            <w:tcW w:w="1191" w:type="dxa"/>
            <w:vAlign w:val="center"/>
          </w:tcPr>
          <w:p w14:paraId="1D3CD7B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0,395</w:t>
            </w:r>
          </w:p>
        </w:tc>
      </w:tr>
      <w:tr w:rsidR="00DD641D" w14:paraId="13892846" w14:textId="77777777">
        <w:trPr>
          <w:jc w:val="center"/>
        </w:trPr>
        <w:tc>
          <w:tcPr>
            <w:tcW w:w="4309" w:type="dxa"/>
            <w:vAlign w:val="center"/>
          </w:tcPr>
          <w:p w14:paraId="3DF9FD4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Целенаправленное поведение</w:t>
            </w:r>
          </w:p>
        </w:tc>
        <w:tc>
          <w:tcPr>
            <w:tcW w:w="1701" w:type="dxa"/>
            <w:vAlign w:val="center"/>
          </w:tcPr>
          <w:p w14:paraId="3A775D4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1,15</w:t>
            </w:r>
          </w:p>
        </w:tc>
        <w:tc>
          <w:tcPr>
            <w:tcW w:w="1701" w:type="dxa"/>
            <w:vAlign w:val="center"/>
          </w:tcPr>
          <w:p w14:paraId="1042FCC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1,02-1,29</w:t>
            </w:r>
          </w:p>
        </w:tc>
        <w:tc>
          <w:tcPr>
            <w:tcW w:w="1191" w:type="dxa"/>
            <w:vAlign w:val="center"/>
          </w:tcPr>
          <w:p w14:paraId="74E86C2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0,019*</w:t>
            </w:r>
          </w:p>
        </w:tc>
      </w:tr>
      <w:tr w:rsidR="00DD641D" w14:paraId="30070EC3" w14:textId="77777777">
        <w:trPr>
          <w:jc w:val="center"/>
        </w:trPr>
        <w:tc>
          <w:tcPr>
            <w:tcW w:w="4309" w:type="dxa"/>
            <w:vAlign w:val="center"/>
          </w:tcPr>
          <w:p w14:paraId="0FDAC9B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Ясность</w:t>
            </w:r>
          </w:p>
        </w:tc>
        <w:tc>
          <w:tcPr>
            <w:tcW w:w="1701" w:type="dxa"/>
            <w:vAlign w:val="center"/>
          </w:tcPr>
          <w:p w14:paraId="577850F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1,07</w:t>
            </w:r>
          </w:p>
        </w:tc>
        <w:tc>
          <w:tcPr>
            <w:tcW w:w="1701" w:type="dxa"/>
            <w:vAlign w:val="center"/>
          </w:tcPr>
          <w:p w14:paraId="3DC7AA8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0,97-1,18</w:t>
            </w:r>
          </w:p>
        </w:tc>
        <w:tc>
          <w:tcPr>
            <w:tcW w:w="1191" w:type="dxa"/>
            <w:vAlign w:val="center"/>
          </w:tcPr>
          <w:p w14:paraId="2FE6458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0,172</w:t>
            </w:r>
          </w:p>
        </w:tc>
      </w:tr>
      <w:tr w:rsidR="00DD641D" w14:paraId="71FF4885" w14:textId="77777777">
        <w:trPr>
          <w:jc w:val="center"/>
        </w:trPr>
        <w:tc>
          <w:tcPr>
            <w:tcW w:w="4309" w:type="dxa"/>
            <w:vAlign w:val="center"/>
          </w:tcPr>
          <w:p w14:paraId="19CE0ED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Осознанность</w:t>
            </w:r>
          </w:p>
        </w:tc>
        <w:tc>
          <w:tcPr>
            <w:tcW w:w="1701" w:type="dxa"/>
            <w:vAlign w:val="center"/>
          </w:tcPr>
          <w:p w14:paraId="111BB98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1,13</w:t>
            </w:r>
          </w:p>
        </w:tc>
        <w:tc>
          <w:tcPr>
            <w:tcW w:w="1701" w:type="dxa"/>
            <w:vAlign w:val="center"/>
          </w:tcPr>
          <w:p w14:paraId="6FA83F3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1,05-1,23</w:t>
            </w:r>
          </w:p>
        </w:tc>
        <w:tc>
          <w:tcPr>
            <w:tcW w:w="1191" w:type="dxa"/>
            <w:vAlign w:val="center"/>
          </w:tcPr>
          <w:p w14:paraId="248DE10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0,002**</w:t>
            </w:r>
          </w:p>
        </w:tc>
      </w:tr>
      <w:tr w:rsidR="00DD641D" w14:paraId="25193487" w14:textId="77777777">
        <w:trPr>
          <w:jc w:val="center"/>
        </w:trPr>
        <w:tc>
          <w:tcPr>
            <w:tcW w:w="4309" w:type="dxa"/>
            <w:vAlign w:val="center"/>
          </w:tcPr>
          <w:p w14:paraId="698E1B3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</w:t>
            </w:r>
          </w:p>
        </w:tc>
        <w:tc>
          <w:tcPr>
            <w:tcW w:w="1701" w:type="dxa"/>
            <w:vAlign w:val="center"/>
          </w:tcPr>
          <w:p w14:paraId="0BB7D5D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1,31</w:t>
            </w:r>
          </w:p>
        </w:tc>
        <w:tc>
          <w:tcPr>
            <w:tcW w:w="1701" w:type="dxa"/>
            <w:vAlign w:val="center"/>
          </w:tcPr>
          <w:p w14:paraId="26937B6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1,20-1,44</w:t>
            </w:r>
          </w:p>
        </w:tc>
        <w:tc>
          <w:tcPr>
            <w:tcW w:w="1191" w:type="dxa"/>
            <w:vAlign w:val="center"/>
          </w:tcPr>
          <w:p w14:paraId="02F250F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55F0CBD1" w14:textId="77777777">
        <w:trPr>
          <w:jc w:val="center"/>
        </w:trPr>
        <w:tc>
          <w:tcPr>
            <w:tcW w:w="4309" w:type="dxa"/>
            <w:vAlign w:val="center"/>
          </w:tcPr>
          <w:p w14:paraId="5300F13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Ковариата</w:t>
            </w:r>
          </w:p>
        </w:tc>
        <w:tc>
          <w:tcPr>
            <w:tcW w:w="1701" w:type="dxa"/>
            <w:vAlign w:val="center"/>
          </w:tcPr>
          <w:p w14:paraId="6633ABF7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675917C4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5FF1AFC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64682678" w14:textId="77777777">
        <w:trPr>
          <w:jc w:val="center"/>
        </w:trPr>
        <w:tc>
          <w:tcPr>
            <w:tcW w:w="4309" w:type="dxa"/>
            <w:vAlign w:val="center"/>
          </w:tcPr>
          <w:p w14:paraId="11C7F40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Возрастная группа (дети)</w:t>
            </w:r>
          </w:p>
        </w:tc>
        <w:tc>
          <w:tcPr>
            <w:tcW w:w="1701" w:type="dxa"/>
            <w:vAlign w:val="center"/>
          </w:tcPr>
          <w:p w14:paraId="3EEAA2D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1,15</w:t>
            </w:r>
          </w:p>
        </w:tc>
        <w:tc>
          <w:tcPr>
            <w:tcW w:w="1701" w:type="dxa"/>
            <w:vAlign w:val="center"/>
          </w:tcPr>
          <w:p w14:paraId="4A75DF3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0,97-1,35</w:t>
            </w:r>
          </w:p>
        </w:tc>
        <w:tc>
          <w:tcPr>
            <w:tcW w:w="1191" w:type="dxa"/>
            <w:vAlign w:val="center"/>
          </w:tcPr>
          <w:p w14:paraId="2700CA9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0,100</w:t>
            </w:r>
          </w:p>
        </w:tc>
      </w:tr>
      <w:tr w:rsidR="00DD641D" w14:paraId="3C036155" w14:textId="77777777">
        <w:trPr>
          <w:jc w:val="center"/>
        </w:trPr>
        <w:tc>
          <w:tcPr>
            <w:tcW w:w="4309" w:type="dxa"/>
            <w:vAlign w:val="center"/>
          </w:tcPr>
          <w:p w14:paraId="0A98A4D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1CF9488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581</w:t>
            </w:r>
          </w:p>
        </w:tc>
        <w:tc>
          <w:tcPr>
            <w:tcW w:w="1701" w:type="dxa"/>
            <w:vAlign w:val="center"/>
          </w:tcPr>
          <w:p w14:paraId="2260ADF3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1FE189E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750536E8" w14:textId="77777777">
        <w:trPr>
          <w:jc w:val="center"/>
        </w:trPr>
        <w:tc>
          <w:tcPr>
            <w:tcW w:w="4309" w:type="dxa"/>
            <w:vAlign w:val="center"/>
          </w:tcPr>
          <w:p w14:paraId="68B9BDF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38BA710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0,492</w:t>
            </w:r>
          </w:p>
        </w:tc>
        <w:tc>
          <w:tcPr>
            <w:tcW w:w="1701" w:type="dxa"/>
            <w:vAlign w:val="center"/>
          </w:tcPr>
          <w:p w14:paraId="638EAC0C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36B4364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64184B8E" w14:textId="77777777" w:rsidR="00DD641D" w:rsidRDefault="00DD641D"/>
    <w:p w14:paraId="1317685F" w14:textId="77777777" w:rsidR="00DD641D" w:rsidRDefault="00000000">
      <w:pPr>
        <w:spacing w:after="60"/>
      </w:pPr>
      <w:r>
        <w:rPr>
          <w:b/>
        </w:rPr>
        <w:t>Девочки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663DFA12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040BB99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50DA93D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6C677B38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58EF0FCC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7F68D5FD" w14:textId="77777777">
        <w:trPr>
          <w:jc w:val="center"/>
        </w:trPr>
        <w:tc>
          <w:tcPr>
            <w:tcW w:w="4309" w:type="dxa"/>
            <w:vAlign w:val="center"/>
          </w:tcPr>
          <w:p w14:paraId="72AF732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4FE0BD1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0,09</w:t>
            </w:r>
          </w:p>
        </w:tc>
        <w:tc>
          <w:tcPr>
            <w:tcW w:w="1701" w:type="dxa"/>
            <w:vAlign w:val="center"/>
          </w:tcPr>
          <w:p w14:paraId="7BC2D7D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0,05-0,18</w:t>
            </w:r>
          </w:p>
        </w:tc>
        <w:tc>
          <w:tcPr>
            <w:tcW w:w="1191" w:type="dxa"/>
            <w:vAlign w:val="center"/>
          </w:tcPr>
          <w:p w14:paraId="7CDE838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4DCB801D" w14:textId="77777777">
        <w:trPr>
          <w:jc w:val="center"/>
        </w:trPr>
        <w:tc>
          <w:tcPr>
            <w:tcW w:w="4309" w:type="dxa"/>
            <w:vAlign w:val="center"/>
          </w:tcPr>
          <w:p w14:paraId="73E6462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Подшкалы DERS</w:t>
            </w:r>
          </w:p>
        </w:tc>
        <w:tc>
          <w:tcPr>
            <w:tcW w:w="1701" w:type="dxa"/>
            <w:vAlign w:val="center"/>
          </w:tcPr>
          <w:p w14:paraId="641EB1D1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089882CF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5DDEF78B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BEB152E" w14:textId="77777777">
        <w:trPr>
          <w:jc w:val="center"/>
        </w:trPr>
        <w:tc>
          <w:tcPr>
            <w:tcW w:w="4309" w:type="dxa"/>
            <w:vAlign w:val="center"/>
          </w:tcPr>
          <w:p w14:paraId="12FEB29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Стратегии</w:t>
            </w:r>
          </w:p>
        </w:tc>
        <w:tc>
          <w:tcPr>
            <w:tcW w:w="1701" w:type="dxa"/>
            <w:vAlign w:val="center"/>
          </w:tcPr>
          <w:p w14:paraId="50167E2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1,14</w:t>
            </w:r>
          </w:p>
        </w:tc>
        <w:tc>
          <w:tcPr>
            <w:tcW w:w="1701" w:type="dxa"/>
            <w:vAlign w:val="center"/>
          </w:tcPr>
          <w:p w14:paraId="09F2B7E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0,93-1,41</w:t>
            </w:r>
          </w:p>
        </w:tc>
        <w:tc>
          <w:tcPr>
            <w:tcW w:w="1191" w:type="dxa"/>
            <w:vAlign w:val="center"/>
          </w:tcPr>
          <w:p w14:paraId="3F86A81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0,213</w:t>
            </w:r>
          </w:p>
        </w:tc>
      </w:tr>
      <w:tr w:rsidR="00DD641D" w14:paraId="6C17D2FA" w14:textId="77777777">
        <w:trPr>
          <w:jc w:val="center"/>
        </w:trPr>
        <w:tc>
          <w:tcPr>
            <w:tcW w:w="4309" w:type="dxa"/>
            <w:vAlign w:val="center"/>
          </w:tcPr>
          <w:p w14:paraId="7498609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Непринятие</w:t>
            </w:r>
          </w:p>
        </w:tc>
        <w:tc>
          <w:tcPr>
            <w:tcW w:w="1701" w:type="dxa"/>
            <w:vAlign w:val="center"/>
          </w:tcPr>
          <w:p w14:paraId="14BEB41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1,23</w:t>
            </w:r>
          </w:p>
        </w:tc>
        <w:tc>
          <w:tcPr>
            <w:tcW w:w="1701" w:type="dxa"/>
            <w:vAlign w:val="center"/>
          </w:tcPr>
          <w:p w14:paraId="730F760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1,03-1,47</w:t>
            </w:r>
          </w:p>
        </w:tc>
        <w:tc>
          <w:tcPr>
            <w:tcW w:w="1191" w:type="dxa"/>
            <w:vAlign w:val="center"/>
          </w:tcPr>
          <w:p w14:paraId="3330A43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0,025*</w:t>
            </w:r>
          </w:p>
        </w:tc>
      </w:tr>
      <w:tr w:rsidR="00DD641D" w14:paraId="3514E32E" w14:textId="77777777">
        <w:trPr>
          <w:jc w:val="center"/>
        </w:trPr>
        <w:tc>
          <w:tcPr>
            <w:tcW w:w="4309" w:type="dxa"/>
            <w:vAlign w:val="center"/>
          </w:tcPr>
          <w:p w14:paraId="69059F3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Импульсивность</w:t>
            </w:r>
          </w:p>
        </w:tc>
        <w:tc>
          <w:tcPr>
            <w:tcW w:w="1701" w:type="dxa"/>
            <w:vAlign w:val="center"/>
          </w:tcPr>
          <w:p w14:paraId="17BA6F2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</w:t>
            </w:r>
          </w:p>
        </w:tc>
        <w:tc>
          <w:tcPr>
            <w:tcW w:w="1701" w:type="dxa"/>
            <w:vAlign w:val="center"/>
          </w:tcPr>
          <w:p w14:paraId="6647FBE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0,83-1,14</w:t>
            </w:r>
          </w:p>
        </w:tc>
        <w:tc>
          <w:tcPr>
            <w:tcW w:w="1191" w:type="dxa"/>
            <w:vAlign w:val="center"/>
          </w:tcPr>
          <w:p w14:paraId="7297654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0,751</w:t>
            </w:r>
          </w:p>
        </w:tc>
      </w:tr>
      <w:tr w:rsidR="00DD641D" w14:paraId="1A11EA33" w14:textId="77777777">
        <w:trPr>
          <w:jc w:val="center"/>
        </w:trPr>
        <w:tc>
          <w:tcPr>
            <w:tcW w:w="4309" w:type="dxa"/>
            <w:vAlign w:val="center"/>
          </w:tcPr>
          <w:p w14:paraId="7D5C30C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Целенаправленное поведение</w:t>
            </w:r>
          </w:p>
        </w:tc>
        <w:tc>
          <w:tcPr>
            <w:tcW w:w="1701" w:type="dxa"/>
            <w:vAlign w:val="center"/>
          </w:tcPr>
          <w:p w14:paraId="54C73C2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1,07</w:t>
            </w:r>
          </w:p>
        </w:tc>
        <w:tc>
          <w:tcPr>
            <w:tcW w:w="1701" w:type="dxa"/>
            <w:vAlign w:val="center"/>
          </w:tcPr>
          <w:p w14:paraId="7A5C389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0,89-1,30</w:t>
            </w:r>
          </w:p>
        </w:tc>
        <w:tc>
          <w:tcPr>
            <w:tcW w:w="1191" w:type="dxa"/>
            <w:vAlign w:val="center"/>
          </w:tcPr>
          <w:p w14:paraId="3EF3626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0,467</w:t>
            </w:r>
          </w:p>
        </w:tc>
      </w:tr>
      <w:tr w:rsidR="00DD641D" w14:paraId="08CC141A" w14:textId="77777777">
        <w:trPr>
          <w:jc w:val="center"/>
        </w:trPr>
        <w:tc>
          <w:tcPr>
            <w:tcW w:w="4309" w:type="dxa"/>
            <w:vAlign w:val="center"/>
          </w:tcPr>
          <w:p w14:paraId="3C525A87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Ясность</w:t>
            </w:r>
          </w:p>
        </w:tc>
        <w:tc>
          <w:tcPr>
            <w:tcW w:w="1701" w:type="dxa"/>
            <w:vAlign w:val="center"/>
          </w:tcPr>
          <w:p w14:paraId="3E67C92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1,17</w:t>
            </w:r>
          </w:p>
        </w:tc>
        <w:tc>
          <w:tcPr>
            <w:tcW w:w="1701" w:type="dxa"/>
            <w:vAlign w:val="center"/>
          </w:tcPr>
          <w:p w14:paraId="2E9BD9E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1,01-1,37</w:t>
            </w:r>
          </w:p>
        </w:tc>
        <w:tc>
          <w:tcPr>
            <w:tcW w:w="1191" w:type="dxa"/>
            <w:vAlign w:val="center"/>
          </w:tcPr>
          <w:p w14:paraId="2C02F70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0,043*</w:t>
            </w:r>
          </w:p>
        </w:tc>
      </w:tr>
      <w:tr w:rsidR="00DD641D" w14:paraId="1A92767F" w14:textId="77777777">
        <w:trPr>
          <w:jc w:val="center"/>
        </w:trPr>
        <w:tc>
          <w:tcPr>
            <w:tcW w:w="4309" w:type="dxa"/>
            <w:vAlign w:val="center"/>
          </w:tcPr>
          <w:p w14:paraId="182BD847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Осознанность</w:t>
            </w:r>
          </w:p>
        </w:tc>
        <w:tc>
          <w:tcPr>
            <w:tcW w:w="1701" w:type="dxa"/>
            <w:vAlign w:val="center"/>
          </w:tcPr>
          <w:p w14:paraId="6514E36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0,95</w:t>
            </w:r>
          </w:p>
        </w:tc>
        <w:tc>
          <w:tcPr>
            <w:tcW w:w="1701" w:type="dxa"/>
            <w:vAlign w:val="center"/>
          </w:tcPr>
          <w:p w14:paraId="6D6598F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0,82-1,10</w:t>
            </w:r>
          </w:p>
        </w:tc>
        <w:tc>
          <w:tcPr>
            <w:tcW w:w="1191" w:type="dxa"/>
            <w:vAlign w:val="center"/>
          </w:tcPr>
          <w:p w14:paraId="6DA97FA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0,488</w:t>
            </w:r>
          </w:p>
        </w:tc>
      </w:tr>
      <w:tr w:rsidR="00DD641D" w14:paraId="193EA5CE" w14:textId="77777777">
        <w:trPr>
          <w:jc w:val="center"/>
        </w:trPr>
        <w:tc>
          <w:tcPr>
            <w:tcW w:w="4309" w:type="dxa"/>
            <w:vAlign w:val="center"/>
          </w:tcPr>
          <w:p w14:paraId="7FD8975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</w:t>
            </w:r>
          </w:p>
        </w:tc>
        <w:tc>
          <w:tcPr>
            <w:tcW w:w="1701" w:type="dxa"/>
            <w:vAlign w:val="center"/>
          </w:tcPr>
          <w:p w14:paraId="3333B19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1,30</w:t>
            </w:r>
          </w:p>
        </w:tc>
        <w:tc>
          <w:tcPr>
            <w:tcW w:w="1701" w:type="dxa"/>
            <w:vAlign w:val="center"/>
          </w:tcPr>
          <w:p w14:paraId="6130A96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1,14-1,50</w:t>
            </w:r>
          </w:p>
        </w:tc>
        <w:tc>
          <w:tcPr>
            <w:tcW w:w="1191" w:type="dxa"/>
            <w:vAlign w:val="center"/>
          </w:tcPr>
          <w:p w14:paraId="22E07D9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46D39813" w14:textId="77777777">
        <w:trPr>
          <w:jc w:val="center"/>
        </w:trPr>
        <w:tc>
          <w:tcPr>
            <w:tcW w:w="4309" w:type="dxa"/>
            <w:vAlign w:val="center"/>
          </w:tcPr>
          <w:p w14:paraId="136BA02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Ковариата</w:t>
            </w:r>
          </w:p>
        </w:tc>
        <w:tc>
          <w:tcPr>
            <w:tcW w:w="1701" w:type="dxa"/>
            <w:vAlign w:val="center"/>
          </w:tcPr>
          <w:p w14:paraId="22EC13F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C5F697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2691EA3B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5D9655B7" w14:textId="77777777">
        <w:trPr>
          <w:jc w:val="center"/>
        </w:trPr>
        <w:tc>
          <w:tcPr>
            <w:tcW w:w="4309" w:type="dxa"/>
            <w:vAlign w:val="center"/>
          </w:tcPr>
          <w:p w14:paraId="3E7DE50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Возрастная группа (дети)</w:t>
            </w:r>
          </w:p>
        </w:tc>
        <w:tc>
          <w:tcPr>
            <w:tcW w:w="1701" w:type="dxa"/>
            <w:vAlign w:val="center"/>
          </w:tcPr>
          <w:p w14:paraId="7EC8D68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2,06</w:t>
            </w:r>
          </w:p>
        </w:tc>
        <w:tc>
          <w:tcPr>
            <w:tcW w:w="1701" w:type="dxa"/>
            <w:vAlign w:val="center"/>
          </w:tcPr>
          <w:p w14:paraId="79DAB25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1,54-2,77</w:t>
            </w:r>
          </w:p>
        </w:tc>
        <w:tc>
          <w:tcPr>
            <w:tcW w:w="1191" w:type="dxa"/>
            <w:vAlign w:val="center"/>
          </w:tcPr>
          <w:p w14:paraId="55F971F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74257C44" w14:textId="77777777">
        <w:trPr>
          <w:jc w:val="center"/>
        </w:trPr>
        <w:tc>
          <w:tcPr>
            <w:tcW w:w="4309" w:type="dxa"/>
            <w:vAlign w:val="center"/>
          </w:tcPr>
          <w:p w14:paraId="6B633BC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58F9032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508</w:t>
            </w:r>
          </w:p>
        </w:tc>
        <w:tc>
          <w:tcPr>
            <w:tcW w:w="1701" w:type="dxa"/>
            <w:vAlign w:val="center"/>
          </w:tcPr>
          <w:p w14:paraId="63FAE27B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2ACF776E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755BF26C" w14:textId="77777777">
        <w:trPr>
          <w:jc w:val="center"/>
        </w:trPr>
        <w:tc>
          <w:tcPr>
            <w:tcW w:w="4309" w:type="dxa"/>
            <w:vAlign w:val="center"/>
          </w:tcPr>
          <w:p w14:paraId="5D1D3D9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45D040C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0,528</w:t>
            </w:r>
          </w:p>
        </w:tc>
        <w:tc>
          <w:tcPr>
            <w:tcW w:w="1701" w:type="dxa"/>
            <w:vAlign w:val="center"/>
          </w:tcPr>
          <w:p w14:paraId="6152600B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303B7DF5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637011F1" w14:textId="77777777" w:rsidR="00DD641D" w:rsidRDefault="00DD641D"/>
    <w:p w14:paraId="5D6D3C5E" w14:textId="77777777" w:rsidR="00DD641D" w:rsidRDefault="00000000">
      <w:pPr>
        <w:spacing w:after="160"/>
      </w:pPr>
      <w:r w:rsidRPr="00EB7815">
        <w:rPr>
          <w:i/>
          <w:lang w:val="ru-RU"/>
        </w:rPr>
        <w:t xml:space="preserve">Возрастная группа детей включала участников 10-13 лет; уровень значимости: </w:t>
      </w:r>
      <w:r>
        <w:rPr>
          <w:i/>
        </w:rPr>
        <w:t>p</w:t>
      </w:r>
      <w:r w:rsidRPr="00EB7815">
        <w:rPr>
          <w:i/>
          <w:lang w:val="ru-RU"/>
        </w:rPr>
        <w:t xml:space="preserve">* &lt; 0,05, </w:t>
      </w:r>
      <w:r>
        <w:rPr>
          <w:i/>
        </w:rPr>
        <w:t>p</w:t>
      </w:r>
      <w:r w:rsidRPr="00EB7815">
        <w:rPr>
          <w:i/>
          <w:lang w:val="ru-RU"/>
        </w:rPr>
        <w:t xml:space="preserve">** &lt; 0,01, </w:t>
      </w:r>
      <w:r>
        <w:rPr>
          <w:i/>
        </w:rPr>
        <w:t>p</w:t>
      </w:r>
      <w:r w:rsidRPr="00EB7815">
        <w:rPr>
          <w:i/>
          <w:lang w:val="ru-RU"/>
        </w:rPr>
        <w:t xml:space="preserve">*** &lt; 0,001. </w:t>
      </w:r>
      <w:r>
        <w:rPr>
          <w:i/>
        </w:rPr>
        <w:t>IGDS - Internet Gaming Disorder Scale; DERS - Difficulties in Emotion Regulation Scale; PFS - Procrastination Questionnaire for Students; суммарные баллы DERS и PFS z-стандартизированы; ДИ - доверительный интервал.</w:t>
      </w:r>
    </w:p>
    <w:p w14:paraId="42B1B89E" w14:textId="77777777" w:rsidR="00DD641D" w:rsidRPr="00EB7815" w:rsidRDefault="00000000">
      <w:pPr>
        <w:pStyle w:val="21"/>
        <w:spacing w:before="0" w:after="80"/>
        <w:rPr>
          <w:lang w:val="ru-RU"/>
        </w:rPr>
      </w:pPr>
      <w:r w:rsidRPr="00EB7815">
        <w:rPr>
          <w:b w:val="0"/>
          <w:lang w:val="ru-RU"/>
        </w:rPr>
        <w:t>Лонгитюдные анализы</w:t>
      </w:r>
    </w:p>
    <w:p w14:paraId="37045067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Лонгитюдная общая пуассоновская модель</w:t>
      </w:r>
    </w:p>
    <w:p w14:paraId="3B8D5270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Факторы риска проспективного </w:t>
      </w:r>
      <w:r>
        <w:t>PG</w:t>
      </w:r>
      <w:r w:rsidRPr="00EB7815">
        <w:rPr>
          <w:lang w:val="ru-RU"/>
        </w:rPr>
        <w:t xml:space="preserve"> были выявлены с помощью общей пуассоновской модели в выборке последующего обследования через 14 месяцев. Соответственно, влияние эмоциональной дизрегуляции на </w:t>
      </w:r>
      <w:r>
        <w:t>PG</w:t>
      </w:r>
      <w:r w:rsidRPr="00EB7815">
        <w:rPr>
          <w:lang w:val="ru-RU"/>
        </w:rPr>
        <w:t xml:space="preserve"> по критериям </w:t>
      </w:r>
      <w:r>
        <w:t>ICD</w:t>
      </w:r>
      <w:r w:rsidRPr="00EB7815">
        <w:rPr>
          <w:lang w:val="ru-RU"/>
        </w:rPr>
        <w:t xml:space="preserve">-11 для </w:t>
      </w:r>
      <w:r>
        <w:t>GD</w:t>
      </w:r>
      <w:r w:rsidRPr="00EB7815">
        <w:rPr>
          <w:lang w:val="ru-RU"/>
        </w:rPr>
        <w:t xml:space="preserve"> исследовалось с контролем </w:t>
      </w:r>
      <w:r w:rsidRPr="00EB7815">
        <w:rPr>
          <w:lang w:val="ru-RU"/>
        </w:rPr>
        <w:lastRenderedPageBreak/>
        <w:t xml:space="preserve">игрового паттерна на исходном этапе, пола и возрастной группы. Более высокие баллы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через год значимо предсказывались более высокими исходными значениями обеих шкал эмоциональной дизрегуляции (табл. 5). Кроме того, исходные баллы </w:t>
      </w:r>
      <w:r>
        <w:t>IGDS</w:t>
      </w:r>
      <w:r w:rsidRPr="00EB7815">
        <w:rPr>
          <w:lang w:val="ru-RU"/>
        </w:rPr>
        <w:t xml:space="preserve"> выступали значимой ковариатой, тогда как возрастная группа и пол - нет. Общая модель объясняла 87,7% дисперсии (</w:t>
      </w:r>
      <w:r>
        <w:t>R</w:t>
      </w:r>
      <w:r w:rsidRPr="00EB7815">
        <w:rPr>
          <w:lang w:val="ru-RU"/>
        </w:rPr>
        <w:t>^2 Нагелькерке = 0,88).</w:t>
      </w:r>
    </w:p>
    <w:p w14:paraId="37A0766B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5. Общая пуассоновская модель: факторы риска проблемного игрового поведения у подростков через один год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0C1011A4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21EBB7A5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6AF1076F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частот</w:t>
            </w:r>
          </w:p>
        </w:tc>
        <w:tc>
          <w:tcPr>
            <w:tcW w:w="1701" w:type="dxa"/>
            <w:vAlign w:val="center"/>
          </w:tcPr>
          <w:p w14:paraId="3BB72D0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7D46469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1C15EF06" w14:textId="77777777">
        <w:trPr>
          <w:jc w:val="center"/>
        </w:trPr>
        <w:tc>
          <w:tcPr>
            <w:tcW w:w="4309" w:type="dxa"/>
            <w:vAlign w:val="center"/>
          </w:tcPr>
          <w:p w14:paraId="5F8165D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022BE75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1,44</w:t>
            </w:r>
          </w:p>
        </w:tc>
        <w:tc>
          <w:tcPr>
            <w:tcW w:w="1701" w:type="dxa"/>
            <w:vAlign w:val="center"/>
          </w:tcPr>
          <w:p w14:paraId="69566AA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1,02-2,04</w:t>
            </w:r>
          </w:p>
        </w:tc>
        <w:tc>
          <w:tcPr>
            <w:tcW w:w="1191" w:type="dxa"/>
            <w:vAlign w:val="center"/>
          </w:tcPr>
          <w:p w14:paraId="3345E95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0,037*</w:t>
            </w:r>
          </w:p>
        </w:tc>
      </w:tr>
      <w:tr w:rsidR="00DD641D" w14:paraId="07D6C977" w14:textId="77777777">
        <w:trPr>
          <w:jc w:val="center"/>
        </w:trPr>
        <w:tc>
          <w:tcPr>
            <w:tcW w:w="4309" w:type="dxa"/>
            <w:vAlign w:val="center"/>
          </w:tcPr>
          <w:p w14:paraId="107F7E0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06131CB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1,17</w:t>
            </w:r>
          </w:p>
        </w:tc>
        <w:tc>
          <w:tcPr>
            <w:tcW w:w="1701" w:type="dxa"/>
            <w:vAlign w:val="center"/>
          </w:tcPr>
          <w:p w14:paraId="2640DB6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1,07-1,28</w:t>
            </w:r>
          </w:p>
        </w:tc>
        <w:tc>
          <w:tcPr>
            <w:tcW w:w="1191" w:type="dxa"/>
            <w:vAlign w:val="center"/>
          </w:tcPr>
          <w:p w14:paraId="212E49E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0,001**</w:t>
            </w:r>
          </w:p>
        </w:tc>
      </w:tr>
      <w:tr w:rsidR="00DD641D" w14:paraId="75437100" w14:textId="77777777">
        <w:trPr>
          <w:jc w:val="center"/>
        </w:trPr>
        <w:tc>
          <w:tcPr>
            <w:tcW w:w="4309" w:type="dxa"/>
            <w:vAlign w:val="center"/>
          </w:tcPr>
          <w:p w14:paraId="55FB8ED4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2EA3487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1,16</w:t>
            </w:r>
          </w:p>
        </w:tc>
        <w:tc>
          <w:tcPr>
            <w:tcW w:w="1701" w:type="dxa"/>
            <w:vAlign w:val="center"/>
          </w:tcPr>
          <w:p w14:paraId="4920A55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1,06-1,27</w:t>
            </w:r>
          </w:p>
        </w:tc>
        <w:tc>
          <w:tcPr>
            <w:tcW w:w="1191" w:type="dxa"/>
            <w:vAlign w:val="center"/>
          </w:tcPr>
          <w:p w14:paraId="04741B2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0,002**</w:t>
            </w:r>
          </w:p>
        </w:tc>
      </w:tr>
      <w:tr w:rsidR="00DD641D" w14:paraId="4ECA4963" w14:textId="77777777">
        <w:trPr>
          <w:jc w:val="center"/>
        </w:trPr>
        <w:tc>
          <w:tcPr>
            <w:tcW w:w="4309" w:type="dxa"/>
            <w:vAlign w:val="center"/>
          </w:tcPr>
          <w:p w14:paraId="3752FD2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Ковариаты</w:t>
            </w:r>
          </w:p>
        </w:tc>
        <w:tc>
          <w:tcPr>
            <w:tcW w:w="1701" w:type="dxa"/>
            <w:vAlign w:val="center"/>
          </w:tcPr>
          <w:p w14:paraId="05C73151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45BBA9F8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B747C1D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C5E9F21" w14:textId="77777777">
        <w:trPr>
          <w:jc w:val="center"/>
        </w:trPr>
        <w:tc>
          <w:tcPr>
            <w:tcW w:w="4309" w:type="dxa"/>
            <w:vAlign w:val="center"/>
          </w:tcPr>
          <w:p w14:paraId="416E4789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IGDS (сумма)</w:t>
            </w:r>
          </w:p>
        </w:tc>
        <w:tc>
          <w:tcPr>
            <w:tcW w:w="1701" w:type="dxa"/>
            <w:vAlign w:val="center"/>
          </w:tcPr>
          <w:p w14:paraId="3EBB342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1,37</w:t>
            </w:r>
          </w:p>
        </w:tc>
        <w:tc>
          <w:tcPr>
            <w:tcW w:w="1701" w:type="dxa"/>
            <w:vAlign w:val="center"/>
          </w:tcPr>
          <w:p w14:paraId="2ECD814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1,27-1,49</w:t>
            </w:r>
          </w:p>
        </w:tc>
        <w:tc>
          <w:tcPr>
            <w:tcW w:w="1191" w:type="dxa"/>
            <w:vAlign w:val="center"/>
          </w:tcPr>
          <w:p w14:paraId="1CE5865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52481C30" w14:textId="77777777">
        <w:trPr>
          <w:jc w:val="center"/>
        </w:trPr>
        <w:tc>
          <w:tcPr>
            <w:tcW w:w="4309" w:type="dxa"/>
            <w:vAlign w:val="center"/>
          </w:tcPr>
          <w:p w14:paraId="450B765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Пол (мужской)</w:t>
            </w:r>
          </w:p>
        </w:tc>
        <w:tc>
          <w:tcPr>
            <w:tcW w:w="1701" w:type="dxa"/>
            <w:vAlign w:val="center"/>
          </w:tcPr>
          <w:p w14:paraId="63C736F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1,17</w:t>
            </w:r>
          </w:p>
        </w:tc>
        <w:tc>
          <w:tcPr>
            <w:tcW w:w="1701" w:type="dxa"/>
            <w:vAlign w:val="center"/>
          </w:tcPr>
          <w:p w14:paraId="6C94F31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0,99-1,38</w:t>
            </w:r>
          </w:p>
        </w:tc>
        <w:tc>
          <w:tcPr>
            <w:tcW w:w="1191" w:type="dxa"/>
            <w:vAlign w:val="center"/>
          </w:tcPr>
          <w:p w14:paraId="293E337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0,066</w:t>
            </w:r>
          </w:p>
        </w:tc>
      </w:tr>
      <w:tr w:rsidR="00DD641D" w14:paraId="325105A4" w14:textId="77777777">
        <w:trPr>
          <w:jc w:val="center"/>
        </w:trPr>
        <w:tc>
          <w:tcPr>
            <w:tcW w:w="4309" w:type="dxa"/>
            <w:vAlign w:val="center"/>
          </w:tcPr>
          <w:p w14:paraId="336E48B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Возрастная группа (дети)</w:t>
            </w:r>
          </w:p>
        </w:tc>
        <w:tc>
          <w:tcPr>
            <w:tcW w:w="1701" w:type="dxa"/>
            <w:vAlign w:val="center"/>
          </w:tcPr>
          <w:p w14:paraId="28E9325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701" w:type="dxa"/>
            <w:vAlign w:val="center"/>
          </w:tcPr>
          <w:p w14:paraId="153CBF26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0,88-1,23</w:t>
            </w:r>
          </w:p>
        </w:tc>
        <w:tc>
          <w:tcPr>
            <w:tcW w:w="1191" w:type="dxa"/>
            <w:vAlign w:val="center"/>
          </w:tcPr>
          <w:p w14:paraId="567DC73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0,628</w:t>
            </w:r>
          </w:p>
        </w:tc>
      </w:tr>
      <w:tr w:rsidR="00DD641D" w14:paraId="031B951E" w14:textId="77777777">
        <w:trPr>
          <w:jc w:val="center"/>
        </w:trPr>
        <w:tc>
          <w:tcPr>
            <w:tcW w:w="4309" w:type="dxa"/>
            <w:vAlign w:val="center"/>
          </w:tcPr>
          <w:p w14:paraId="69522AE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1046022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607</w:t>
            </w:r>
          </w:p>
        </w:tc>
        <w:tc>
          <w:tcPr>
            <w:tcW w:w="1701" w:type="dxa"/>
            <w:vAlign w:val="center"/>
          </w:tcPr>
          <w:p w14:paraId="68CE0250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423B96F9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156787B3" w14:textId="77777777">
        <w:trPr>
          <w:jc w:val="center"/>
        </w:trPr>
        <w:tc>
          <w:tcPr>
            <w:tcW w:w="4309" w:type="dxa"/>
            <w:vAlign w:val="center"/>
          </w:tcPr>
          <w:p w14:paraId="54345E6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7815E88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0,877</w:t>
            </w:r>
          </w:p>
        </w:tc>
        <w:tc>
          <w:tcPr>
            <w:tcW w:w="1701" w:type="dxa"/>
            <w:vAlign w:val="center"/>
          </w:tcPr>
          <w:p w14:paraId="7B86C82D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CBA62A6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3FCD8836" w14:textId="77777777" w:rsidR="00DD641D" w:rsidRDefault="00DD641D"/>
    <w:p w14:paraId="4AEF6392" w14:textId="77777777" w:rsidR="00DD641D" w:rsidRDefault="00000000">
      <w:pPr>
        <w:spacing w:after="160"/>
      </w:pPr>
      <w:r>
        <w:rPr>
          <w:i/>
        </w:rPr>
        <w:t>GADIS-A - Gaming Disorder Scale for Adolescents; DERS - Difficulties in Emotion Regulation Scale; PFS - Procrastination Questionnaire for Students; IGDS - Internet Gaming Disorder Scale; ДИ - доверительный интервал; DERS и PFS z-стандартизированы; уровень значимости: p* &lt; 0,05, p** &lt; 0,01, p*** &lt; 0,001.</w:t>
      </w:r>
    </w:p>
    <w:p w14:paraId="5CCBBDB7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t>Регуляция эмоций и проспективная стабильность проблемного игрового поведения</w:t>
      </w:r>
    </w:p>
    <w:p w14:paraId="0F3A01FB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>На основании последующего обследования через 14 месяцев были выделены четыре различные игровые группы. Их характеристики представлены в таблице 6.</w:t>
      </w:r>
    </w:p>
    <w:p w14:paraId="3F6AAE42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6. Характеристики подростков с различными игровыми паттернами во времени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572"/>
        <w:gridCol w:w="1474"/>
        <w:gridCol w:w="1587"/>
        <w:gridCol w:w="1701"/>
        <w:gridCol w:w="1587"/>
      </w:tblGrid>
      <w:tr w:rsidR="00DD641D" w14:paraId="4B169F30" w14:textId="77777777">
        <w:trPr>
          <w:tblHeader/>
          <w:jc w:val="center"/>
        </w:trPr>
        <w:tc>
          <w:tcPr>
            <w:tcW w:w="3572" w:type="dxa"/>
            <w:vAlign w:val="center"/>
          </w:tcPr>
          <w:p w14:paraId="7AABFD0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19"/>
              </w:rPr>
              <w:t>Категории</w:t>
            </w:r>
          </w:p>
        </w:tc>
        <w:tc>
          <w:tcPr>
            <w:tcW w:w="1474" w:type="dxa"/>
            <w:vAlign w:val="center"/>
          </w:tcPr>
          <w:p w14:paraId="3316FAB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19"/>
              </w:rPr>
              <w:t>No PG</w:t>
            </w:r>
          </w:p>
        </w:tc>
        <w:tc>
          <w:tcPr>
            <w:tcW w:w="1587" w:type="dxa"/>
            <w:vAlign w:val="center"/>
          </w:tcPr>
          <w:p w14:paraId="139C299A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19"/>
              </w:rPr>
              <w:t>Ремиссия</w:t>
            </w:r>
          </w:p>
        </w:tc>
        <w:tc>
          <w:tcPr>
            <w:tcW w:w="1701" w:type="dxa"/>
            <w:vAlign w:val="center"/>
          </w:tcPr>
          <w:p w14:paraId="68F4AF7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19"/>
              </w:rPr>
              <w:t>Постоянное PG</w:t>
            </w:r>
          </w:p>
        </w:tc>
        <w:tc>
          <w:tcPr>
            <w:tcW w:w="1587" w:type="dxa"/>
            <w:vAlign w:val="center"/>
          </w:tcPr>
          <w:p w14:paraId="0DFD579B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19"/>
              </w:rPr>
              <w:t>Новое PG</w:t>
            </w:r>
          </w:p>
        </w:tc>
      </w:tr>
      <w:tr w:rsidR="00DD641D" w14:paraId="4DD3220E" w14:textId="77777777">
        <w:trPr>
          <w:jc w:val="center"/>
        </w:trPr>
        <w:tc>
          <w:tcPr>
            <w:tcW w:w="3572" w:type="dxa"/>
            <w:vAlign w:val="center"/>
          </w:tcPr>
          <w:p w14:paraId="3DE5D206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Nᵃ</w:t>
            </w:r>
          </w:p>
        </w:tc>
        <w:tc>
          <w:tcPr>
            <w:tcW w:w="1474" w:type="dxa"/>
            <w:vAlign w:val="center"/>
          </w:tcPr>
          <w:p w14:paraId="34B70500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499 (75,72%)</w:t>
            </w:r>
          </w:p>
        </w:tc>
        <w:tc>
          <w:tcPr>
            <w:tcW w:w="1587" w:type="dxa"/>
            <w:vAlign w:val="center"/>
          </w:tcPr>
          <w:p w14:paraId="6C479C27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73 (11,10%)</w:t>
            </w:r>
          </w:p>
        </w:tc>
        <w:tc>
          <w:tcPr>
            <w:tcW w:w="1701" w:type="dxa"/>
            <w:vAlign w:val="center"/>
          </w:tcPr>
          <w:p w14:paraId="123E6521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31 (4,70%)</w:t>
            </w:r>
          </w:p>
        </w:tc>
        <w:tc>
          <w:tcPr>
            <w:tcW w:w="1587" w:type="dxa"/>
            <w:vAlign w:val="center"/>
          </w:tcPr>
          <w:p w14:paraId="7EBA581C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38 (5,77%)</w:t>
            </w:r>
          </w:p>
        </w:tc>
      </w:tr>
      <w:tr w:rsidR="00DD641D" w14:paraId="7DC0DA79" w14:textId="77777777">
        <w:trPr>
          <w:jc w:val="center"/>
        </w:trPr>
        <w:tc>
          <w:tcPr>
            <w:tcW w:w="3572" w:type="dxa"/>
            <w:vAlign w:val="center"/>
          </w:tcPr>
          <w:p w14:paraId="37CE64E7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Возраст</w:t>
            </w:r>
          </w:p>
        </w:tc>
        <w:tc>
          <w:tcPr>
            <w:tcW w:w="1474" w:type="dxa"/>
            <w:vAlign w:val="center"/>
          </w:tcPr>
          <w:p w14:paraId="0401C864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13,24 (2,42; 10-17)</w:t>
            </w:r>
          </w:p>
        </w:tc>
        <w:tc>
          <w:tcPr>
            <w:tcW w:w="1587" w:type="dxa"/>
            <w:vAlign w:val="center"/>
          </w:tcPr>
          <w:p w14:paraId="537148F8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12,52 (2,14; 10-17)</w:t>
            </w:r>
          </w:p>
        </w:tc>
        <w:tc>
          <w:tcPr>
            <w:tcW w:w="1701" w:type="dxa"/>
            <w:vAlign w:val="center"/>
          </w:tcPr>
          <w:p w14:paraId="3C09251D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13,0 (2,35; 10-17)</w:t>
            </w:r>
          </w:p>
        </w:tc>
        <w:tc>
          <w:tcPr>
            <w:tcW w:w="1587" w:type="dxa"/>
            <w:vAlign w:val="center"/>
          </w:tcPr>
          <w:p w14:paraId="45E1AD44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12,74 (2,04; 10-17)</w:t>
            </w:r>
          </w:p>
        </w:tc>
      </w:tr>
      <w:tr w:rsidR="00DD641D" w14:paraId="01961573" w14:textId="77777777">
        <w:trPr>
          <w:jc w:val="center"/>
        </w:trPr>
        <w:tc>
          <w:tcPr>
            <w:tcW w:w="3572" w:type="dxa"/>
            <w:vAlign w:val="center"/>
          </w:tcPr>
          <w:p w14:paraId="6A8A4CD0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Пол</w:t>
            </w:r>
          </w:p>
        </w:tc>
        <w:tc>
          <w:tcPr>
            <w:tcW w:w="1474" w:type="dxa"/>
            <w:vAlign w:val="center"/>
          </w:tcPr>
          <w:p w14:paraId="56B1C750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7D383CA6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717B9E6B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2E79614A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38198C4B" w14:textId="77777777">
        <w:trPr>
          <w:jc w:val="center"/>
        </w:trPr>
        <w:tc>
          <w:tcPr>
            <w:tcW w:w="3572" w:type="dxa"/>
            <w:vAlign w:val="center"/>
          </w:tcPr>
          <w:p w14:paraId="75C18DC7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Женский</w:t>
            </w:r>
          </w:p>
        </w:tc>
        <w:tc>
          <w:tcPr>
            <w:tcW w:w="1474" w:type="dxa"/>
            <w:vAlign w:val="center"/>
          </w:tcPr>
          <w:p w14:paraId="1D69038E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257 (51,5%)</w:t>
            </w:r>
          </w:p>
        </w:tc>
        <w:tc>
          <w:tcPr>
            <w:tcW w:w="1587" w:type="dxa"/>
            <w:vAlign w:val="center"/>
          </w:tcPr>
          <w:p w14:paraId="60BA31FB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21 (28,77%)</w:t>
            </w:r>
          </w:p>
        </w:tc>
        <w:tc>
          <w:tcPr>
            <w:tcW w:w="1701" w:type="dxa"/>
            <w:vAlign w:val="center"/>
          </w:tcPr>
          <w:p w14:paraId="621C4A64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8 (25,81%)</w:t>
            </w:r>
          </w:p>
        </w:tc>
        <w:tc>
          <w:tcPr>
            <w:tcW w:w="1587" w:type="dxa"/>
            <w:vAlign w:val="center"/>
          </w:tcPr>
          <w:p w14:paraId="725EC0DB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14 (36,84%)</w:t>
            </w:r>
          </w:p>
        </w:tc>
      </w:tr>
      <w:tr w:rsidR="00DD641D" w14:paraId="7224E903" w14:textId="77777777">
        <w:trPr>
          <w:jc w:val="center"/>
        </w:trPr>
        <w:tc>
          <w:tcPr>
            <w:tcW w:w="3572" w:type="dxa"/>
            <w:vAlign w:val="center"/>
          </w:tcPr>
          <w:p w14:paraId="4727E0F4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Мужской</w:t>
            </w:r>
          </w:p>
        </w:tc>
        <w:tc>
          <w:tcPr>
            <w:tcW w:w="1474" w:type="dxa"/>
            <w:vAlign w:val="center"/>
          </w:tcPr>
          <w:p w14:paraId="5FEDC3F6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242 (48,5%)</w:t>
            </w:r>
          </w:p>
        </w:tc>
        <w:tc>
          <w:tcPr>
            <w:tcW w:w="1587" w:type="dxa"/>
            <w:vAlign w:val="center"/>
          </w:tcPr>
          <w:p w14:paraId="3F838D9B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52 (71,23%)</w:t>
            </w:r>
          </w:p>
        </w:tc>
        <w:tc>
          <w:tcPr>
            <w:tcW w:w="1701" w:type="dxa"/>
            <w:vAlign w:val="center"/>
          </w:tcPr>
          <w:p w14:paraId="34DC59F6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23 (74,19%)</w:t>
            </w:r>
          </w:p>
        </w:tc>
        <w:tc>
          <w:tcPr>
            <w:tcW w:w="1587" w:type="dxa"/>
            <w:vAlign w:val="center"/>
          </w:tcPr>
          <w:p w14:paraId="0474065E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24 (63,16%)</w:t>
            </w:r>
          </w:p>
        </w:tc>
      </w:tr>
      <w:tr w:rsidR="00DD641D" w14:paraId="4693B01F" w14:textId="77777777">
        <w:trPr>
          <w:jc w:val="center"/>
        </w:trPr>
        <w:tc>
          <w:tcPr>
            <w:tcW w:w="3572" w:type="dxa"/>
            <w:vAlign w:val="center"/>
          </w:tcPr>
          <w:p w14:paraId="0D0C0005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Регион</w:t>
            </w:r>
          </w:p>
        </w:tc>
        <w:tc>
          <w:tcPr>
            <w:tcW w:w="1474" w:type="dxa"/>
            <w:vAlign w:val="center"/>
          </w:tcPr>
          <w:p w14:paraId="206970E6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081CDA0F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E6354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7B960D93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33D6E862" w14:textId="77777777">
        <w:trPr>
          <w:jc w:val="center"/>
        </w:trPr>
        <w:tc>
          <w:tcPr>
            <w:tcW w:w="3572" w:type="dxa"/>
            <w:vAlign w:val="center"/>
          </w:tcPr>
          <w:p w14:paraId="2AD86882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Сельская местность</w:t>
            </w:r>
          </w:p>
        </w:tc>
        <w:tc>
          <w:tcPr>
            <w:tcW w:w="1474" w:type="dxa"/>
            <w:vAlign w:val="center"/>
          </w:tcPr>
          <w:p w14:paraId="4B2E157F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83 (16,63%)</w:t>
            </w:r>
          </w:p>
        </w:tc>
        <w:tc>
          <w:tcPr>
            <w:tcW w:w="1587" w:type="dxa"/>
            <w:vAlign w:val="center"/>
          </w:tcPr>
          <w:p w14:paraId="41FB93E9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13 (17,81%)</w:t>
            </w:r>
          </w:p>
        </w:tc>
        <w:tc>
          <w:tcPr>
            <w:tcW w:w="1701" w:type="dxa"/>
            <w:vAlign w:val="center"/>
          </w:tcPr>
          <w:p w14:paraId="6B662543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6 (19,35%)</w:t>
            </w:r>
          </w:p>
        </w:tc>
        <w:tc>
          <w:tcPr>
            <w:tcW w:w="1587" w:type="dxa"/>
            <w:vAlign w:val="center"/>
          </w:tcPr>
          <w:p w14:paraId="48B07074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7 (18,42%)</w:t>
            </w:r>
          </w:p>
        </w:tc>
      </w:tr>
      <w:tr w:rsidR="00DD641D" w14:paraId="650EFC57" w14:textId="77777777">
        <w:trPr>
          <w:jc w:val="center"/>
        </w:trPr>
        <w:tc>
          <w:tcPr>
            <w:tcW w:w="3572" w:type="dxa"/>
            <w:vAlign w:val="center"/>
          </w:tcPr>
          <w:p w14:paraId="569DD410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Городская местность</w:t>
            </w:r>
          </w:p>
        </w:tc>
        <w:tc>
          <w:tcPr>
            <w:tcW w:w="1474" w:type="dxa"/>
            <w:vAlign w:val="center"/>
          </w:tcPr>
          <w:p w14:paraId="7FDD4931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416 (83,37%)</w:t>
            </w:r>
          </w:p>
        </w:tc>
        <w:tc>
          <w:tcPr>
            <w:tcW w:w="1587" w:type="dxa"/>
            <w:vAlign w:val="center"/>
          </w:tcPr>
          <w:p w14:paraId="674DE5C5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60 (82,19%)</w:t>
            </w:r>
          </w:p>
        </w:tc>
        <w:tc>
          <w:tcPr>
            <w:tcW w:w="1701" w:type="dxa"/>
            <w:vAlign w:val="center"/>
          </w:tcPr>
          <w:p w14:paraId="327491E8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25 (80,65%)</w:t>
            </w:r>
          </w:p>
        </w:tc>
        <w:tc>
          <w:tcPr>
            <w:tcW w:w="1587" w:type="dxa"/>
            <w:vAlign w:val="center"/>
          </w:tcPr>
          <w:p w14:paraId="3D0E34DE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31 (81,58%)</w:t>
            </w:r>
          </w:p>
        </w:tc>
      </w:tr>
      <w:tr w:rsidR="00DD641D" w14:paraId="369B49CA" w14:textId="77777777">
        <w:trPr>
          <w:jc w:val="center"/>
        </w:trPr>
        <w:tc>
          <w:tcPr>
            <w:tcW w:w="3572" w:type="dxa"/>
            <w:vAlign w:val="center"/>
          </w:tcPr>
          <w:p w14:paraId="0AF391B1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Образование</w:t>
            </w:r>
          </w:p>
        </w:tc>
        <w:tc>
          <w:tcPr>
            <w:tcW w:w="1474" w:type="dxa"/>
            <w:vAlign w:val="center"/>
          </w:tcPr>
          <w:p w14:paraId="3D28DEFC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63FF3F6A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701" w:type="dxa"/>
            <w:vAlign w:val="center"/>
          </w:tcPr>
          <w:p w14:paraId="5230A57D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587" w:type="dxa"/>
            <w:vAlign w:val="center"/>
          </w:tcPr>
          <w:p w14:paraId="2F49A067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310FF06" w14:textId="77777777">
        <w:trPr>
          <w:jc w:val="center"/>
        </w:trPr>
        <w:tc>
          <w:tcPr>
            <w:tcW w:w="3572" w:type="dxa"/>
            <w:vAlign w:val="center"/>
          </w:tcPr>
          <w:p w14:paraId="7E6A90F6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Низкий уровень</w:t>
            </w:r>
          </w:p>
        </w:tc>
        <w:tc>
          <w:tcPr>
            <w:tcW w:w="1474" w:type="dxa"/>
            <w:vAlign w:val="center"/>
          </w:tcPr>
          <w:p w14:paraId="5948319D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34 (7,04%)</w:t>
            </w:r>
          </w:p>
        </w:tc>
        <w:tc>
          <w:tcPr>
            <w:tcW w:w="1587" w:type="dxa"/>
            <w:vAlign w:val="center"/>
          </w:tcPr>
          <w:p w14:paraId="41A444CD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11 (15,49%)</w:t>
            </w:r>
          </w:p>
        </w:tc>
        <w:tc>
          <w:tcPr>
            <w:tcW w:w="1701" w:type="dxa"/>
            <w:vAlign w:val="center"/>
          </w:tcPr>
          <w:p w14:paraId="55F05479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 (6,9%)</w:t>
            </w:r>
          </w:p>
        </w:tc>
        <w:tc>
          <w:tcPr>
            <w:tcW w:w="1587" w:type="dxa"/>
            <w:vAlign w:val="center"/>
          </w:tcPr>
          <w:p w14:paraId="7FE5844A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5 (13,51%)</w:t>
            </w:r>
          </w:p>
        </w:tc>
      </w:tr>
      <w:tr w:rsidR="00DD641D" w14:paraId="53E0249A" w14:textId="77777777">
        <w:trPr>
          <w:jc w:val="center"/>
        </w:trPr>
        <w:tc>
          <w:tcPr>
            <w:tcW w:w="3572" w:type="dxa"/>
            <w:vAlign w:val="center"/>
          </w:tcPr>
          <w:p w14:paraId="5E14517C" w14:textId="77777777" w:rsidR="00DD641D" w:rsidRDefault="00000000">
            <w:pPr>
              <w:spacing w:line="252" w:lineRule="auto"/>
            </w:pPr>
            <w:r>
              <w:rPr>
                <w:sz w:val="19"/>
              </w:rPr>
              <w:t>Средний/высокий</w:t>
            </w:r>
          </w:p>
        </w:tc>
        <w:tc>
          <w:tcPr>
            <w:tcW w:w="1474" w:type="dxa"/>
            <w:vAlign w:val="center"/>
          </w:tcPr>
          <w:p w14:paraId="4C86E6C0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449 (92,96%)</w:t>
            </w:r>
          </w:p>
        </w:tc>
        <w:tc>
          <w:tcPr>
            <w:tcW w:w="1587" w:type="dxa"/>
            <w:vAlign w:val="center"/>
          </w:tcPr>
          <w:p w14:paraId="6E4F3262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60 (84,51%)</w:t>
            </w:r>
          </w:p>
        </w:tc>
        <w:tc>
          <w:tcPr>
            <w:tcW w:w="1701" w:type="dxa"/>
            <w:vAlign w:val="center"/>
          </w:tcPr>
          <w:p w14:paraId="6F4CC33F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27 (93,1%)</w:t>
            </w:r>
          </w:p>
        </w:tc>
        <w:tc>
          <w:tcPr>
            <w:tcW w:w="1587" w:type="dxa"/>
            <w:vAlign w:val="center"/>
          </w:tcPr>
          <w:p w14:paraId="6EEB4C6F" w14:textId="77777777" w:rsidR="00DD641D" w:rsidRDefault="00000000">
            <w:pPr>
              <w:spacing w:line="252" w:lineRule="auto"/>
              <w:jc w:val="center"/>
            </w:pPr>
            <w:r>
              <w:rPr>
                <w:sz w:val="19"/>
              </w:rPr>
              <w:t>32 (86,49%)</w:t>
            </w:r>
          </w:p>
        </w:tc>
      </w:tr>
    </w:tbl>
    <w:p w14:paraId="58E8FF89" w14:textId="77777777" w:rsidR="00DD641D" w:rsidRDefault="00DD641D"/>
    <w:p w14:paraId="7DA01191" w14:textId="77777777" w:rsidR="00DD641D" w:rsidRPr="00EB7815" w:rsidRDefault="00000000">
      <w:pPr>
        <w:spacing w:after="160"/>
        <w:rPr>
          <w:lang w:val="ru-RU"/>
        </w:rPr>
      </w:pPr>
      <w:r>
        <w:rPr>
          <w:i/>
        </w:rPr>
        <w:t xml:space="preserve">PG - problematic gaming; No PG - отсутствие PG на t0 и t1; Remission - PG на t0, отсутствие PG на t1; Constant PG - PG на t0 и t1; New PG - отсутствие PG на t0, PG на t1; SD - стандартное отклонение; EL - оценочный уровень образования участников; Education low - </w:t>
      </w:r>
      <w:r>
        <w:rPr>
          <w:i/>
        </w:rPr>
        <w:lastRenderedPageBreak/>
        <w:t>отсутствие аттестата, специальная школа («Förderschulabschluss») или аттестат о неполном среднем образовании («Hauptschulabschluss»); Education middle/high - аттестат о среднем образовании («Realschulabschluss») или право поступления в университет («Abitur»). ᵃ</w:t>
      </w:r>
      <w:r w:rsidRPr="00EB7815">
        <w:rPr>
          <w:i/>
          <w:lang w:val="ru-RU"/>
        </w:rPr>
        <w:t xml:space="preserve"> Классификация отсутствовала из-за выраженного объема пропусков: </w:t>
      </w:r>
      <w:r>
        <w:rPr>
          <w:i/>
        </w:rPr>
        <w:t>n</w:t>
      </w:r>
      <w:r w:rsidRPr="00EB7815">
        <w:rPr>
          <w:i/>
          <w:lang w:val="ru-RU"/>
        </w:rPr>
        <w:t xml:space="preserve"> = 18 (2,73%).</w:t>
      </w:r>
    </w:p>
    <w:p w14:paraId="00CEEFF9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С помощью логистической регрессионной модели группа подростков с новым </w:t>
      </w:r>
      <w:r>
        <w:t>PG</w:t>
      </w:r>
      <w:r w:rsidRPr="00EB7815">
        <w:rPr>
          <w:lang w:val="ru-RU"/>
        </w:rPr>
        <w:t xml:space="preserve"> сравнивалась с участниками без </w:t>
      </w:r>
      <w:r>
        <w:t>PG</w:t>
      </w:r>
      <w:r w:rsidRPr="00EB7815">
        <w:rPr>
          <w:lang w:val="ru-RU"/>
        </w:rPr>
        <w:t xml:space="preserve"> (табл. 7). Возраст и пол не были значимыми ковариатами в общей лонгитюдной пуассоновской модели (после контроля исходных игровых паттернов), поэтому в логистическую регрессию они не включались. Суммарный балл </w:t>
      </w:r>
      <w:r>
        <w:t>DERS</w:t>
      </w:r>
      <w:r w:rsidRPr="00EB7815">
        <w:rPr>
          <w:lang w:val="ru-RU"/>
        </w:rPr>
        <w:t xml:space="preserve"> достиг уровня значимости при сравнении нового </w:t>
      </w:r>
      <w:r>
        <w:t>PG</w:t>
      </w:r>
      <w:r w:rsidRPr="00EB7815">
        <w:rPr>
          <w:lang w:val="ru-RU"/>
        </w:rPr>
        <w:t xml:space="preserve"> с отсутствием </w:t>
      </w:r>
      <w:r>
        <w:t>PG</w:t>
      </w:r>
      <w:r w:rsidRPr="00EB7815">
        <w:rPr>
          <w:lang w:val="ru-RU"/>
        </w:rPr>
        <w:t xml:space="preserve">. Соответственно, более высокие значения </w:t>
      </w:r>
      <w:r>
        <w:t>DERS</w:t>
      </w:r>
      <w:r w:rsidRPr="00EB7815">
        <w:rPr>
          <w:lang w:val="ru-RU"/>
        </w:rPr>
        <w:t xml:space="preserve"> увеличивали шансы развития нового </w:t>
      </w:r>
      <w:r>
        <w:t>PG</w:t>
      </w:r>
      <w:r w:rsidRPr="00EB7815">
        <w:rPr>
          <w:lang w:val="ru-RU"/>
        </w:rPr>
        <w:t xml:space="preserve"> при последующем обследовании в 1,83 раза. Кроме того, группа подростков с ремиссией сравнивалась с участниками, у которых </w:t>
      </w:r>
      <w:r>
        <w:t>PG</w:t>
      </w:r>
      <w:r w:rsidRPr="00EB7815">
        <w:rPr>
          <w:lang w:val="ru-RU"/>
        </w:rPr>
        <w:t xml:space="preserve"> сохранялось в обеих точках измерения, чтобы выявить факторы, поддерживающие </w:t>
      </w:r>
      <w:r>
        <w:t>PG</w:t>
      </w:r>
      <w:r w:rsidRPr="00EB7815">
        <w:rPr>
          <w:lang w:val="ru-RU"/>
        </w:rPr>
        <w:t>. В этой модели более низкие баллы прокрастинации значимо повышали вероятность отнесения к группе ремиссии в выборке последующего обследования (табл. 8).</w:t>
      </w:r>
    </w:p>
    <w:p w14:paraId="1DD8E685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7. Логистическая регрессионная модель: характеристики регуляции эмоций как факторы риска нового проблемного игрового поведения у подростков через 14 месяцев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0FBE57DF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25104599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7C4AD648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шансов</w:t>
            </w:r>
          </w:p>
        </w:tc>
        <w:tc>
          <w:tcPr>
            <w:tcW w:w="1701" w:type="dxa"/>
            <w:vAlign w:val="center"/>
          </w:tcPr>
          <w:p w14:paraId="5E0B8C9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7C1D6BD2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1876CB30" w14:textId="77777777">
        <w:trPr>
          <w:jc w:val="center"/>
        </w:trPr>
        <w:tc>
          <w:tcPr>
            <w:tcW w:w="4309" w:type="dxa"/>
            <w:vAlign w:val="center"/>
          </w:tcPr>
          <w:p w14:paraId="143DADC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1D415642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w="1701" w:type="dxa"/>
            <w:vAlign w:val="center"/>
          </w:tcPr>
          <w:p w14:paraId="6E96F21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0,00-0,02</w:t>
            </w:r>
          </w:p>
        </w:tc>
        <w:tc>
          <w:tcPr>
            <w:tcW w:w="1191" w:type="dxa"/>
            <w:vAlign w:val="center"/>
          </w:tcPr>
          <w:p w14:paraId="2FD1A36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4792848C" w14:textId="77777777">
        <w:trPr>
          <w:jc w:val="center"/>
        </w:trPr>
        <w:tc>
          <w:tcPr>
            <w:tcW w:w="4309" w:type="dxa"/>
            <w:vAlign w:val="center"/>
          </w:tcPr>
          <w:p w14:paraId="205DB45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45DB9D5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1,83</w:t>
            </w:r>
          </w:p>
        </w:tc>
        <w:tc>
          <w:tcPr>
            <w:tcW w:w="1701" w:type="dxa"/>
            <w:vAlign w:val="center"/>
          </w:tcPr>
          <w:p w14:paraId="153097A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1,29-2,57</w:t>
            </w:r>
          </w:p>
        </w:tc>
        <w:tc>
          <w:tcPr>
            <w:tcW w:w="1191" w:type="dxa"/>
            <w:vAlign w:val="center"/>
          </w:tcPr>
          <w:p w14:paraId="0436DB9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0,001**</w:t>
            </w:r>
          </w:p>
        </w:tc>
      </w:tr>
      <w:tr w:rsidR="00DD641D" w14:paraId="56C03A0C" w14:textId="77777777">
        <w:trPr>
          <w:jc w:val="center"/>
        </w:trPr>
        <w:tc>
          <w:tcPr>
            <w:tcW w:w="4309" w:type="dxa"/>
            <w:vAlign w:val="center"/>
          </w:tcPr>
          <w:p w14:paraId="5AF3C92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55788BE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1,13</w:t>
            </w:r>
          </w:p>
        </w:tc>
        <w:tc>
          <w:tcPr>
            <w:tcW w:w="1701" w:type="dxa"/>
            <w:vAlign w:val="center"/>
          </w:tcPr>
          <w:p w14:paraId="0C9CC3C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0,79-1,63</w:t>
            </w:r>
          </w:p>
        </w:tc>
        <w:tc>
          <w:tcPr>
            <w:tcW w:w="1191" w:type="dxa"/>
            <w:vAlign w:val="center"/>
          </w:tcPr>
          <w:p w14:paraId="750EE04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0,494</w:t>
            </w:r>
          </w:p>
        </w:tc>
      </w:tr>
      <w:tr w:rsidR="00DD641D" w14:paraId="350D1E2C" w14:textId="77777777">
        <w:trPr>
          <w:jc w:val="center"/>
        </w:trPr>
        <w:tc>
          <w:tcPr>
            <w:tcW w:w="4309" w:type="dxa"/>
            <w:vAlign w:val="center"/>
          </w:tcPr>
          <w:p w14:paraId="277FC83C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6C31728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511</w:t>
            </w:r>
          </w:p>
        </w:tc>
        <w:tc>
          <w:tcPr>
            <w:tcW w:w="1701" w:type="dxa"/>
            <w:vAlign w:val="center"/>
          </w:tcPr>
          <w:p w14:paraId="4003588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5B67B810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D1C3B79" w14:textId="77777777">
        <w:trPr>
          <w:jc w:val="center"/>
        </w:trPr>
        <w:tc>
          <w:tcPr>
            <w:tcW w:w="4309" w:type="dxa"/>
            <w:vAlign w:val="center"/>
          </w:tcPr>
          <w:p w14:paraId="534B4816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0A19667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0,036</w:t>
            </w:r>
          </w:p>
        </w:tc>
        <w:tc>
          <w:tcPr>
            <w:tcW w:w="1701" w:type="dxa"/>
            <w:vAlign w:val="center"/>
          </w:tcPr>
          <w:p w14:paraId="0B7D6B82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5920023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2F2254FE" w14:textId="77777777" w:rsidR="00DD641D" w:rsidRDefault="00DD641D"/>
    <w:p w14:paraId="53236B6A" w14:textId="77777777" w:rsidR="00DD641D" w:rsidRPr="00EB7815" w:rsidRDefault="00000000">
      <w:pPr>
        <w:spacing w:after="160"/>
        <w:rPr>
          <w:lang w:val="ru-RU"/>
        </w:rPr>
      </w:pPr>
      <w:r>
        <w:rPr>
          <w:i/>
        </w:rPr>
        <w:t>I</w:t>
      </w:r>
      <w:r w:rsidRPr="00EB7815">
        <w:rPr>
          <w:i/>
          <w:lang w:val="ru-RU"/>
        </w:rPr>
        <w:t xml:space="preserve">. Новое </w:t>
      </w:r>
      <w:r>
        <w:rPr>
          <w:i/>
        </w:rPr>
        <w:t>PG</w:t>
      </w:r>
      <w:r w:rsidRPr="00EB7815">
        <w:rPr>
          <w:i/>
          <w:lang w:val="ru-RU"/>
        </w:rPr>
        <w:t xml:space="preserve"> по сравнению с отсутствием </w:t>
      </w:r>
      <w:r>
        <w:rPr>
          <w:i/>
        </w:rPr>
        <w:t>PG</w:t>
      </w:r>
      <w:r w:rsidRPr="00EB7815">
        <w:rPr>
          <w:i/>
          <w:lang w:val="ru-RU"/>
        </w:rPr>
        <w:t xml:space="preserve">. </w:t>
      </w:r>
      <w:r>
        <w:rPr>
          <w:i/>
        </w:rPr>
        <w:t>PG</w:t>
      </w:r>
      <w:r w:rsidRPr="00EB7815">
        <w:rPr>
          <w:i/>
          <w:lang w:val="ru-RU"/>
        </w:rPr>
        <w:t xml:space="preserve"> - </w:t>
      </w:r>
      <w:r>
        <w:rPr>
          <w:i/>
        </w:rPr>
        <w:t>problematic</w:t>
      </w:r>
      <w:r w:rsidRPr="00EB7815">
        <w:rPr>
          <w:i/>
          <w:lang w:val="ru-RU"/>
        </w:rPr>
        <w:t xml:space="preserve"> </w:t>
      </w:r>
      <w:r>
        <w:rPr>
          <w:i/>
        </w:rPr>
        <w:t>gaming</w:t>
      </w:r>
      <w:r w:rsidRPr="00EB7815">
        <w:rPr>
          <w:i/>
          <w:lang w:val="ru-RU"/>
        </w:rPr>
        <w:t xml:space="preserve">; </w:t>
      </w:r>
      <w:r>
        <w:rPr>
          <w:i/>
        </w:rPr>
        <w:t>No</w:t>
      </w:r>
      <w:r w:rsidRPr="00EB7815">
        <w:rPr>
          <w:i/>
          <w:lang w:val="ru-RU"/>
        </w:rPr>
        <w:t xml:space="preserve"> </w:t>
      </w:r>
      <w:r>
        <w:rPr>
          <w:i/>
        </w:rPr>
        <w:t>PG</w:t>
      </w:r>
      <w:r w:rsidRPr="00EB7815">
        <w:rPr>
          <w:i/>
          <w:lang w:val="ru-RU"/>
        </w:rPr>
        <w:t xml:space="preserve"> - отсутствие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0 и </w:t>
      </w:r>
      <w:r>
        <w:rPr>
          <w:i/>
        </w:rPr>
        <w:t>t</w:t>
      </w:r>
      <w:r w:rsidRPr="00EB7815">
        <w:rPr>
          <w:i/>
          <w:lang w:val="ru-RU"/>
        </w:rPr>
        <w:t xml:space="preserve">1; </w:t>
      </w:r>
      <w:r>
        <w:rPr>
          <w:i/>
        </w:rPr>
        <w:t>New</w:t>
      </w:r>
      <w:r w:rsidRPr="00EB7815">
        <w:rPr>
          <w:i/>
          <w:lang w:val="ru-RU"/>
        </w:rPr>
        <w:t xml:space="preserve"> </w:t>
      </w:r>
      <w:r>
        <w:rPr>
          <w:i/>
        </w:rPr>
        <w:t>PG</w:t>
      </w:r>
      <w:r w:rsidRPr="00EB7815">
        <w:rPr>
          <w:i/>
          <w:lang w:val="ru-RU"/>
        </w:rPr>
        <w:t xml:space="preserve"> - отсутствие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0,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1; ДИ - доверительный интервал; </w:t>
      </w:r>
      <w:r>
        <w:rPr>
          <w:i/>
        </w:rPr>
        <w:t>DERS</w:t>
      </w:r>
      <w:r w:rsidRPr="00EB7815">
        <w:rPr>
          <w:i/>
          <w:lang w:val="ru-RU"/>
        </w:rPr>
        <w:t xml:space="preserve"> - </w:t>
      </w:r>
      <w:r>
        <w:rPr>
          <w:i/>
        </w:rPr>
        <w:t>Difficulties</w:t>
      </w:r>
      <w:r w:rsidRPr="00EB7815">
        <w:rPr>
          <w:i/>
          <w:lang w:val="ru-RU"/>
        </w:rPr>
        <w:t xml:space="preserve"> </w:t>
      </w:r>
      <w:r>
        <w:rPr>
          <w:i/>
        </w:rPr>
        <w:t>in</w:t>
      </w:r>
      <w:r w:rsidRPr="00EB7815">
        <w:rPr>
          <w:i/>
          <w:lang w:val="ru-RU"/>
        </w:rPr>
        <w:t xml:space="preserve"> </w:t>
      </w:r>
      <w:r>
        <w:rPr>
          <w:i/>
        </w:rPr>
        <w:t>Emotion</w:t>
      </w:r>
      <w:r w:rsidRPr="00EB7815">
        <w:rPr>
          <w:i/>
          <w:lang w:val="ru-RU"/>
        </w:rPr>
        <w:t xml:space="preserve"> </w:t>
      </w:r>
      <w:r>
        <w:rPr>
          <w:i/>
        </w:rPr>
        <w:t>Regulation</w:t>
      </w:r>
      <w:r w:rsidRPr="00EB7815">
        <w:rPr>
          <w:i/>
          <w:lang w:val="ru-RU"/>
        </w:rPr>
        <w:t xml:space="preserve"> </w:t>
      </w:r>
      <w:r>
        <w:rPr>
          <w:i/>
        </w:rPr>
        <w:t>Scale</w:t>
      </w:r>
      <w:r w:rsidRPr="00EB7815">
        <w:rPr>
          <w:i/>
          <w:lang w:val="ru-RU"/>
        </w:rPr>
        <w:t xml:space="preserve">; </w:t>
      </w:r>
      <w:r>
        <w:rPr>
          <w:i/>
        </w:rPr>
        <w:t>PFS</w:t>
      </w:r>
      <w:r w:rsidRPr="00EB7815">
        <w:rPr>
          <w:i/>
          <w:lang w:val="ru-RU"/>
        </w:rPr>
        <w:t xml:space="preserve"> - </w:t>
      </w:r>
      <w:r>
        <w:rPr>
          <w:i/>
        </w:rPr>
        <w:t>Procrastination</w:t>
      </w:r>
      <w:r w:rsidRPr="00EB7815">
        <w:rPr>
          <w:i/>
          <w:lang w:val="ru-RU"/>
        </w:rPr>
        <w:t xml:space="preserve"> </w:t>
      </w:r>
      <w:r>
        <w:rPr>
          <w:i/>
        </w:rPr>
        <w:t>Questionnaire</w:t>
      </w:r>
      <w:r w:rsidRPr="00EB7815">
        <w:rPr>
          <w:i/>
          <w:lang w:val="ru-RU"/>
        </w:rPr>
        <w:t xml:space="preserve"> </w:t>
      </w:r>
      <w:r>
        <w:rPr>
          <w:i/>
        </w:rPr>
        <w:t>for</w:t>
      </w:r>
      <w:r w:rsidRPr="00EB7815">
        <w:rPr>
          <w:i/>
          <w:lang w:val="ru-RU"/>
        </w:rPr>
        <w:t xml:space="preserve"> </w:t>
      </w:r>
      <w:r>
        <w:rPr>
          <w:i/>
        </w:rPr>
        <w:t>Students</w:t>
      </w:r>
      <w:r w:rsidRPr="00EB7815">
        <w:rPr>
          <w:i/>
          <w:lang w:val="ru-RU"/>
        </w:rPr>
        <w:t xml:space="preserve">; </w:t>
      </w:r>
      <w:r>
        <w:rPr>
          <w:i/>
        </w:rPr>
        <w:t>DERS</w:t>
      </w:r>
      <w:r w:rsidRPr="00EB7815">
        <w:rPr>
          <w:i/>
          <w:lang w:val="ru-RU"/>
        </w:rPr>
        <w:t xml:space="preserve"> и </w:t>
      </w:r>
      <w:r>
        <w:rPr>
          <w:i/>
        </w:rPr>
        <w:t>PFS</w:t>
      </w:r>
      <w:r w:rsidRPr="00EB7815">
        <w:rPr>
          <w:i/>
          <w:lang w:val="ru-RU"/>
        </w:rPr>
        <w:t xml:space="preserve"> </w:t>
      </w:r>
      <w:r>
        <w:rPr>
          <w:i/>
        </w:rPr>
        <w:t>z</w:t>
      </w:r>
      <w:r w:rsidRPr="00EB7815">
        <w:rPr>
          <w:i/>
          <w:lang w:val="ru-RU"/>
        </w:rPr>
        <w:t xml:space="preserve">-стандартизированы; уровень значимости: </w:t>
      </w:r>
      <w:r>
        <w:rPr>
          <w:i/>
        </w:rPr>
        <w:t>p</w:t>
      </w:r>
      <w:r w:rsidRPr="00EB7815">
        <w:rPr>
          <w:i/>
          <w:lang w:val="ru-RU"/>
        </w:rPr>
        <w:t xml:space="preserve">* &lt; 0,05, </w:t>
      </w:r>
      <w:r>
        <w:rPr>
          <w:i/>
        </w:rPr>
        <w:t>p</w:t>
      </w:r>
      <w:r w:rsidRPr="00EB7815">
        <w:rPr>
          <w:i/>
          <w:lang w:val="ru-RU"/>
        </w:rPr>
        <w:t xml:space="preserve">** &lt; 0,01, </w:t>
      </w:r>
      <w:r>
        <w:rPr>
          <w:i/>
        </w:rPr>
        <w:t>p</w:t>
      </w:r>
      <w:r w:rsidRPr="00EB7815">
        <w:rPr>
          <w:i/>
          <w:lang w:val="ru-RU"/>
        </w:rPr>
        <w:t>*** &lt; 0,001.</w:t>
      </w:r>
    </w:p>
    <w:p w14:paraId="10DCA4DE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8. Логистическая регрессионная модель: характеристики регуляции эмоций для прогнозирования ремиссии проблемного игрового поведения у подростков через 14 месяцев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15E65385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7BAD8693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4B10C2D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шансов</w:t>
            </w:r>
          </w:p>
        </w:tc>
        <w:tc>
          <w:tcPr>
            <w:tcW w:w="1701" w:type="dxa"/>
            <w:vAlign w:val="center"/>
          </w:tcPr>
          <w:p w14:paraId="5D10961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605AC938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7CE5A51E" w14:textId="77777777">
        <w:trPr>
          <w:jc w:val="center"/>
        </w:trPr>
        <w:tc>
          <w:tcPr>
            <w:tcW w:w="4309" w:type="dxa"/>
            <w:vAlign w:val="center"/>
          </w:tcPr>
          <w:p w14:paraId="401ED78E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7A402BF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11,79</w:t>
            </w:r>
          </w:p>
        </w:tc>
        <w:tc>
          <w:tcPr>
            <w:tcW w:w="1701" w:type="dxa"/>
            <w:vAlign w:val="center"/>
          </w:tcPr>
          <w:p w14:paraId="0AE28FB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1,25-111,46</w:t>
            </w:r>
          </w:p>
        </w:tc>
        <w:tc>
          <w:tcPr>
            <w:tcW w:w="1191" w:type="dxa"/>
            <w:vAlign w:val="center"/>
          </w:tcPr>
          <w:p w14:paraId="30B0778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0,031*</w:t>
            </w:r>
          </w:p>
        </w:tc>
      </w:tr>
      <w:tr w:rsidR="00DD641D" w14:paraId="4BC891A8" w14:textId="77777777">
        <w:trPr>
          <w:jc w:val="center"/>
        </w:trPr>
        <w:tc>
          <w:tcPr>
            <w:tcW w:w="4309" w:type="dxa"/>
            <w:vAlign w:val="center"/>
          </w:tcPr>
          <w:p w14:paraId="10FC698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3E68729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1,06</w:t>
            </w:r>
          </w:p>
        </w:tc>
        <w:tc>
          <w:tcPr>
            <w:tcW w:w="1701" w:type="dxa"/>
            <w:vAlign w:val="center"/>
          </w:tcPr>
          <w:p w14:paraId="48003CC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0,66-1,70</w:t>
            </w:r>
          </w:p>
        </w:tc>
        <w:tc>
          <w:tcPr>
            <w:tcW w:w="1191" w:type="dxa"/>
            <w:vAlign w:val="center"/>
          </w:tcPr>
          <w:p w14:paraId="4C28942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0,823</w:t>
            </w:r>
          </w:p>
        </w:tc>
      </w:tr>
      <w:tr w:rsidR="00DD641D" w14:paraId="4F5D1D55" w14:textId="77777777">
        <w:trPr>
          <w:jc w:val="center"/>
        </w:trPr>
        <w:tc>
          <w:tcPr>
            <w:tcW w:w="4309" w:type="dxa"/>
            <w:vAlign w:val="center"/>
          </w:tcPr>
          <w:p w14:paraId="6888ACAD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5E55501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0,60</w:t>
            </w:r>
          </w:p>
        </w:tc>
        <w:tc>
          <w:tcPr>
            <w:tcW w:w="1701" w:type="dxa"/>
            <w:vAlign w:val="center"/>
          </w:tcPr>
          <w:p w14:paraId="09EEB47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0,36-0,98</w:t>
            </w:r>
          </w:p>
        </w:tc>
        <w:tc>
          <w:tcPr>
            <w:tcW w:w="1191" w:type="dxa"/>
            <w:vAlign w:val="center"/>
          </w:tcPr>
          <w:p w14:paraId="258DE37E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0,043*</w:t>
            </w:r>
          </w:p>
        </w:tc>
      </w:tr>
      <w:tr w:rsidR="00DD641D" w14:paraId="3A12E2EC" w14:textId="77777777">
        <w:trPr>
          <w:jc w:val="center"/>
        </w:trPr>
        <w:tc>
          <w:tcPr>
            <w:tcW w:w="4309" w:type="dxa"/>
            <w:vAlign w:val="center"/>
          </w:tcPr>
          <w:p w14:paraId="423B277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7264BA31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93</w:t>
            </w:r>
          </w:p>
        </w:tc>
        <w:tc>
          <w:tcPr>
            <w:tcW w:w="1701" w:type="dxa"/>
            <w:vAlign w:val="center"/>
          </w:tcPr>
          <w:p w14:paraId="1D47E71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A78DF14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DE122B4" w14:textId="77777777">
        <w:trPr>
          <w:jc w:val="center"/>
        </w:trPr>
        <w:tc>
          <w:tcPr>
            <w:tcW w:w="4309" w:type="dxa"/>
            <w:vAlign w:val="center"/>
          </w:tcPr>
          <w:p w14:paraId="01985DB7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4D4FF11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0,051</w:t>
            </w:r>
          </w:p>
        </w:tc>
        <w:tc>
          <w:tcPr>
            <w:tcW w:w="1701" w:type="dxa"/>
            <w:vAlign w:val="center"/>
          </w:tcPr>
          <w:p w14:paraId="0EE2229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145577C9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30FD0E36" w14:textId="77777777" w:rsidR="00DD641D" w:rsidRDefault="00DD641D"/>
    <w:p w14:paraId="7716F7A5" w14:textId="77777777" w:rsidR="00DD641D" w:rsidRPr="00EB7815" w:rsidRDefault="00000000">
      <w:pPr>
        <w:spacing w:after="160"/>
        <w:rPr>
          <w:lang w:val="ru-RU"/>
        </w:rPr>
      </w:pPr>
      <w:r>
        <w:rPr>
          <w:i/>
        </w:rPr>
        <w:t>II</w:t>
      </w:r>
      <w:r w:rsidRPr="00EB7815">
        <w:rPr>
          <w:i/>
          <w:lang w:val="ru-RU"/>
        </w:rPr>
        <w:t xml:space="preserve">. Ремиссия по сравнению с постоянным </w:t>
      </w:r>
      <w:r>
        <w:rPr>
          <w:i/>
        </w:rPr>
        <w:t>PG</w:t>
      </w:r>
      <w:r w:rsidRPr="00EB7815">
        <w:rPr>
          <w:i/>
          <w:lang w:val="ru-RU"/>
        </w:rPr>
        <w:t xml:space="preserve">. </w:t>
      </w:r>
      <w:r>
        <w:rPr>
          <w:i/>
        </w:rPr>
        <w:t>PG</w:t>
      </w:r>
      <w:r w:rsidRPr="00EB7815">
        <w:rPr>
          <w:i/>
          <w:lang w:val="ru-RU"/>
        </w:rPr>
        <w:t xml:space="preserve"> - </w:t>
      </w:r>
      <w:r>
        <w:rPr>
          <w:i/>
        </w:rPr>
        <w:t>problematic</w:t>
      </w:r>
      <w:r w:rsidRPr="00EB7815">
        <w:rPr>
          <w:i/>
          <w:lang w:val="ru-RU"/>
        </w:rPr>
        <w:t xml:space="preserve"> </w:t>
      </w:r>
      <w:r>
        <w:rPr>
          <w:i/>
        </w:rPr>
        <w:t>gaming</w:t>
      </w:r>
      <w:r w:rsidRPr="00EB7815">
        <w:rPr>
          <w:i/>
          <w:lang w:val="ru-RU"/>
        </w:rPr>
        <w:t xml:space="preserve">; </w:t>
      </w:r>
      <w:r>
        <w:rPr>
          <w:i/>
        </w:rPr>
        <w:t>Remission</w:t>
      </w:r>
      <w:r w:rsidRPr="00EB7815">
        <w:rPr>
          <w:i/>
          <w:lang w:val="ru-RU"/>
        </w:rPr>
        <w:t xml:space="preserve"> -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0, отсутствие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1; </w:t>
      </w:r>
      <w:r>
        <w:rPr>
          <w:i/>
        </w:rPr>
        <w:t>Constant</w:t>
      </w:r>
      <w:r w:rsidRPr="00EB7815">
        <w:rPr>
          <w:i/>
          <w:lang w:val="ru-RU"/>
        </w:rPr>
        <w:t xml:space="preserve"> </w:t>
      </w:r>
      <w:r>
        <w:rPr>
          <w:i/>
        </w:rPr>
        <w:t>PG</w:t>
      </w:r>
      <w:r w:rsidRPr="00EB7815">
        <w:rPr>
          <w:i/>
          <w:lang w:val="ru-RU"/>
        </w:rPr>
        <w:t xml:space="preserve"> - </w:t>
      </w:r>
      <w:r>
        <w:rPr>
          <w:i/>
        </w:rPr>
        <w:t>PG</w:t>
      </w:r>
      <w:r w:rsidRPr="00EB7815">
        <w:rPr>
          <w:i/>
          <w:lang w:val="ru-RU"/>
        </w:rPr>
        <w:t xml:space="preserve"> на </w:t>
      </w:r>
      <w:r>
        <w:rPr>
          <w:i/>
        </w:rPr>
        <w:t>t</w:t>
      </w:r>
      <w:r w:rsidRPr="00EB7815">
        <w:rPr>
          <w:i/>
          <w:lang w:val="ru-RU"/>
        </w:rPr>
        <w:t xml:space="preserve">0 и </w:t>
      </w:r>
      <w:r>
        <w:rPr>
          <w:i/>
        </w:rPr>
        <w:t>t</w:t>
      </w:r>
      <w:r w:rsidRPr="00EB7815">
        <w:rPr>
          <w:i/>
          <w:lang w:val="ru-RU"/>
        </w:rPr>
        <w:t xml:space="preserve">1; ДИ - доверительный интервал; </w:t>
      </w:r>
      <w:r>
        <w:rPr>
          <w:i/>
        </w:rPr>
        <w:t>DERS</w:t>
      </w:r>
      <w:r w:rsidRPr="00EB7815">
        <w:rPr>
          <w:i/>
          <w:lang w:val="ru-RU"/>
        </w:rPr>
        <w:t xml:space="preserve"> - </w:t>
      </w:r>
      <w:r>
        <w:rPr>
          <w:i/>
        </w:rPr>
        <w:t>Difficulties</w:t>
      </w:r>
      <w:r w:rsidRPr="00EB7815">
        <w:rPr>
          <w:i/>
          <w:lang w:val="ru-RU"/>
        </w:rPr>
        <w:t xml:space="preserve"> </w:t>
      </w:r>
      <w:r>
        <w:rPr>
          <w:i/>
        </w:rPr>
        <w:t>in</w:t>
      </w:r>
      <w:r w:rsidRPr="00EB7815">
        <w:rPr>
          <w:i/>
          <w:lang w:val="ru-RU"/>
        </w:rPr>
        <w:t xml:space="preserve"> </w:t>
      </w:r>
      <w:r>
        <w:rPr>
          <w:i/>
        </w:rPr>
        <w:t>Emotion</w:t>
      </w:r>
      <w:r w:rsidRPr="00EB7815">
        <w:rPr>
          <w:i/>
          <w:lang w:val="ru-RU"/>
        </w:rPr>
        <w:t xml:space="preserve"> </w:t>
      </w:r>
      <w:r>
        <w:rPr>
          <w:i/>
        </w:rPr>
        <w:t>Regulation</w:t>
      </w:r>
      <w:r w:rsidRPr="00EB7815">
        <w:rPr>
          <w:i/>
          <w:lang w:val="ru-RU"/>
        </w:rPr>
        <w:t xml:space="preserve"> </w:t>
      </w:r>
      <w:r>
        <w:rPr>
          <w:i/>
        </w:rPr>
        <w:t>Scale</w:t>
      </w:r>
      <w:r w:rsidRPr="00EB7815">
        <w:rPr>
          <w:i/>
          <w:lang w:val="ru-RU"/>
        </w:rPr>
        <w:t xml:space="preserve">; </w:t>
      </w:r>
      <w:r>
        <w:rPr>
          <w:i/>
        </w:rPr>
        <w:t>PFS</w:t>
      </w:r>
      <w:r w:rsidRPr="00EB7815">
        <w:rPr>
          <w:i/>
          <w:lang w:val="ru-RU"/>
        </w:rPr>
        <w:t xml:space="preserve"> - </w:t>
      </w:r>
      <w:r>
        <w:rPr>
          <w:i/>
        </w:rPr>
        <w:t>Procrastination</w:t>
      </w:r>
      <w:r w:rsidRPr="00EB7815">
        <w:rPr>
          <w:i/>
          <w:lang w:val="ru-RU"/>
        </w:rPr>
        <w:t xml:space="preserve"> </w:t>
      </w:r>
      <w:r>
        <w:rPr>
          <w:i/>
        </w:rPr>
        <w:t>Questionnaire</w:t>
      </w:r>
      <w:r w:rsidRPr="00EB7815">
        <w:rPr>
          <w:i/>
          <w:lang w:val="ru-RU"/>
        </w:rPr>
        <w:t xml:space="preserve"> </w:t>
      </w:r>
      <w:r>
        <w:rPr>
          <w:i/>
        </w:rPr>
        <w:t>for</w:t>
      </w:r>
      <w:r w:rsidRPr="00EB7815">
        <w:rPr>
          <w:i/>
          <w:lang w:val="ru-RU"/>
        </w:rPr>
        <w:t xml:space="preserve"> </w:t>
      </w:r>
      <w:r>
        <w:rPr>
          <w:i/>
        </w:rPr>
        <w:t>Students</w:t>
      </w:r>
      <w:r w:rsidRPr="00EB7815">
        <w:rPr>
          <w:i/>
          <w:lang w:val="ru-RU"/>
        </w:rPr>
        <w:t xml:space="preserve">; </w:t>
      </w:r>
      <w:r>
        <w:rPr>
          <w:i/>
        </w:rPr>
        <w:t>DERS</w:t>
      </w:r>
      <w:r w:rsidRPr="00EB7815">
        <w:rPr>
          <w:i/>
          <w:lang w:val="ru-RU"/>
        </w:rPr>
        <w:t xml:space="preserve"> и </w:t>
      </w:r>
      <w:r>
        <w:rPr>
          <w:i/>
        </w:rPr>
        <w:t>PFS</w:t>
      </w:r>
      <w:r w:rsidRPr="00EB7815">
        <w:rPr>
          <w:i/>
          <w:lang w:val="ru-RU"/>
        </w:rPr>
        <w:t xml:space="preserve"> </w:t>
      </w:r>
      <w:r>
        <w:rPr>
          <w:i/>
        </w:rPr>
        <w:t>z</w:t>
      </w:r>
      <w:r w:rsidRPr="00EB7815">
        <w:rPr>
          <w:i/>
          <w:lang w:val="ru-RU"/>
        </w:rPr>
        <w:t xml:space="preserve">-стандартизированы; уровень значимости: </w:t>
      </w:r>
      <w:r>
        <w:rPr>
          <w:i/>
        </w:rPr>
        <w:t>p</w:t>
      </w:r>
      <w:r w:rsidRPr="00EB7815">
        <w:rPr>
          <w:i/>
          <w:lang w:val="ru-RU"/>
        </w:rPr>
        <w:t xml:space="preserve">* &lt; 0,05, </w:t>
      </w:r>
      <w:r>
        <w:rPr>
          <w:i/>
        </w:rPr>
        <w:t>p</w:t>
      </w:r>
      <w:r w:rsidRPr="00EB7815">
        <w:rPr>
          <w:i/>
          <w:lang w:val="ru-RU"/>
        </w:rPr>
        <w:t xml:space="preserve">** &lt; 0,01, </w:t>
      </w:r>
      <w:r>
        <w:rPr>
          <w:i/>
        </w:rPr>
        <w:t>p</w:t>
      </w:r>
      <w:r w:rsidRPr="00EB7815">
        <w:rPr>
          <w:i/>
          <w:lang w:val="ru-RU"/>
        </w:rPr>
        <w:t>*** &lt; 0,001.</w:t>
      </w:r>
    </w:p>
    <w:p w14:paraId="47276077" w14:textId="77777777" w:rsidR="00DD641D" w:rsidRPr="00EB7815" w:rsidRDefault="00000000">
      <w:pPr>
        <w:pStyle w:val="31"/>
        <w:spacing w:before="0" w:after="80"/>
        <w:rPr>
          <w:lang w:val="ru-RU"/>
        </w:rPr>
      </w:pPr>
      <w:r w:rsidRPr="00EB7815">
        <w:rPr>
          <w:b w:val="0"/>
          <w:lang w:val="ru-RU"/>
        </w:rPr>
        <w:lastRenderedPageBreak/>
        <w:t>Регуляция эмоций и игровые паттерны на этапе последующего обследования</w:t>
      </w:r>
    </w:p>
    <w:p w14:paraId="4CAC81E2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Наконец, для изучения различий между игровыми паттернами в соответствии с определениями </w:t>
      </w:r>
      <w:r>
        <w:t>ICD</w:t>
      </w:r>
      <w:r w:rsidRPr="00EB7815">
        <w:rPr>
          <w:lang w:val="ru-RU"/>
        </w:rPr>
        <w:t xml:space="preserve">-11 была выполнена мультиномиальная логистическая регрессия (табл. 9). Если среди участников с рискованным игровым поведением значимыми были оба показателя </w:t>
      </w:r>
      <w:r>
        <w:t>ER</w:t>
      </w:r>
      <w:r w:rsidRPr="00EB7815">
        <w:rPr>
          <w:lang w:val="ru-RU"/>
        </w:rPr>
        <w:t xml:space="preserve">, то у подростков с манифестным </w:t>
      </w:r>
      <w:r>
        <w:t>GD</w:t>
      </w:r>
      <w:r w:rsidRPr="00EB7815">
        <w:rPr>
          <w:lang w:val="ru-RU"/>
        </w:rPr>
        <w:t xml:space="preserve"> значимым предиктором оказался только суммарный балл </w:t>
      </w:r>
      <w:r>
        <w:t>DERS</w:t>
      </w:r>
      <w:r w:rsidRPr="00EB7815">
        <w:rPr>
          <w:lang w:val="ru-RU"/>
        </w:rPr>
        <w:t>.</w:t>
      </w:r>
    </w:p>
    <w:p w14:paraId="10FF8DFA" w14:textId="77777777" w:rsidR="00DD641D" w:rsidRPr="00EB7815" w:rsidRDefault="00000000">
      <w:pPr>
        <w:spacing w:before="120" w:after="60"/>
        <w:rPr>
          <w:lang w:val="ru-RU"/>
        </w:rPr>
      </w:pPr>
      <w:r w:rsidRPr="00EB7815">
        <w:rPr>
          <w:b/>
          <w:sz w:val="22"/>
          <w:lang w:val="ru-RU"/>
        </w:rPr>
        <w:t>Таблица 9. Мультиномиальная логистическая регрессия: характеристики регуляции эмоций и проспективная игровая группа</w:t>
      </w:r>
    </w:p>
    <w:p w14:paraId="36F65F40" w14:textId="77777777" w:rsidR="00DD641D" w:rsidRDefault="00000000">
      <w:pPr>
        <w:spacing w:after="60"/>
      </w:pPr>
      <w:r>
        <w:rPr>
          <w:b/>
        </w:rPr>
        <w:t>Игровая группа: отсутствие игры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3477956B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24B0F344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33714973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шансов</w:t>
            </w:r>
          </w:p>
        </w:tc>
        <w:tc>
          <w:tcPr>
            <w:tcW w:w="1701" w:type="dxa"/>
            <w:vAlign w:val="center"/>
          </w:tcPr>
          <w:p w14:paraId="1C1BA123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6B0185D1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4C3E62AD" w14:textId="77777777">
        <w:trPr>
          <w:jc w:val="center"/>
        </w:trPr>
        <w:tc>
          <w:tcPr>
            <w:tcW w:w="4309" w:type="dxa"/>
            <w:vAlign w:val="center"/>
          </w:tcPr>
          <w:p w14:paraId="6AABF25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617C4CC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0,13</w:t>
            </w:r>
          </w:p>
        </w:tc>
        <w:tc>
          <w:tcPr>
            <w:tcW w:w="1701" w:type="dxa"/>
            <w:vAlign w:val="center"/>
          </w:tcPr>
          <w:p w14:paraId="789ADE2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0,06-0,32</w:t>
            </w:r>
          </w:p>
        </w:tc>
        <w:tc>
          <w:tcPr>
            <w:tcW w:w="1191" w:type="dxa"/>
            <w:vAlign w:val="center"/>
          </w:tcPr>
          <w:p w14:paraId="6848CF1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5E70E63F" w14:textId="77777777">
        <w:trPr>
          <w:jc w:val="center"/>
        </w:trPr>
        <w:tc>
          <w:tcPr>
            <w:tcW w:w="4309" w:type="dxa"/>
            <w:vAlign w:val="center"/>
          </w:tcPr>
          <w:p w14:paraId="105C6A3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4463212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1,25</w:t>
            </w:r>
          </w:p>
        </w:tc>
        <w:tc>
          <w:tcPr>
            <w:tcW w:w="1701" w:type="dxa"/>
            <w:vAlign w:val="center"/>
          </w:tcPr>
          <w:p w14:paraId="29FCEF2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0,97-1,63</w:t>
            </w:r>
          </w:p>
        </w:tc>
        <w:tc>
          <w:tcPr>
            <w:tcW w:w="1191" w:type="dxa"/>
            <w:vAlign w:val="center"/>
          </w:tcPr>
          <w:p w14:paraId="677068C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0,087</w:t>
            </w:r>
          </w:p>
        </w:tc>
      </w:tr>
      <w:tr w:rsidR="00DD641D" w14:paraId="2A3C7AFE" w14:textId="77777777">
        <w:trPr>
          <w:jc w:val="center"/>
        </w:trPr>
        <w:tc>
          <w:tcPr>
            <w:tcW w:w="4309" w:type="dxa"/>
            <w:vAlign w:val="center"/>
          </w:tcPr>
          <w:p w14:paraId="2C3DE910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5E22CD0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0,88</w:t>
            </w:r>
          </w:p>
        </w:tc>
        <w:tc>
          <w:tcPr>
            <w:tcW w:w="1701" w:type="dxa"/>
            <w:vAlign w:val="center"/>
          </w:tcPr>
          <w:p w14:paraId="78213513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0,67-1,14</w:t>
            </w:r>
          </w:p>
        </w:tc>
        <w:tc>
          <w:tcPr>
            <w:tcW w:w="1191" w:type="dxa"/>
            <w:vAlign w:val="center"/>
          </w:tcPr>
          <w:p w14:paraId="2CFE137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0,330</w:t>
            </w:r>
          </w:p>
        </w:tc>
      </w:tr>
    </w:tbl>
    <w:p w14:paraId="6D472ACD" w14:textId="77777777" w:rsidR="00DD641D" w:rsidRDefault="00DD641D"/>
    <w:p w14:paraId="5E41F414" w14:textId="77777777" w:rsidR="00DD641D" w:rsidRPr="00EB7815" w:rsidRDefault="00000000">
      <w:pPr>
        <w:spacing w:after="60"/>
        <w:rPr>
          <w:lang w:val="ru-RU"/>
        </w:rPr>
      </w:pPr>
      <w:r w:rsidRPr="00EB7815">
        <w:rPr>
          <w:b/>
          <w:lang w:val="ru-RU"/>
        </w:rPr>
        <w:t>Игровая группа: рискованное игровое поведение (</w:t>
      </w:r>
      <w:r>
        <w:rPr>
          <w:b/>
        </w:rPr>
        <w:t>HG</w:t>
      </w:r>
      <w:r w:rsidRPr="00EB7815">
        <w:rPr>
          <w:b/>
          <w:lang w:val="ru-RU"/>
        </w:rPr>
        <w:t>)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0697EAC5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233D9BFA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0D959134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шансов</w:t>
            </w:r>
          </w:p>
        </w:tc>
        <w:tc>
          <w:tcPr>
            <w:tcW w:w="1701" w:type="dxa"/>
            <w:vAlign w:val="center"/>
          </w:tcPr>
          <w:p w14:paraId="3DF02107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402FD8AB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529286BA" w14:textId="77777777">
        <w:trPr>
          <w:jc w:val="center"/>
        </w:trPr>
        <w:tc>
          <w:tcPr>
            <w:tcW w:w="4309" w:type="dxa"/>
            <w:vAlign w:val="center"/>
          </w:tcPr>
          <w:p w14:paraId="0D16487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2AE66F8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0,01</w:t>
            </w:r>
          </w:p>
        </w:tc>
        <w:tc>
          <w:tcPr>
            <w:tcW w:w="1701" w:type="dxa"/>
            <w:vAlign w:val="center"/>
          </w:tcPr>
          <w:p w14:paraId="655111F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0,00-0,03</w:t>
            </w:r>
          </w:p>
        </w:tc>
        <w:tc>
          <w:tcPr>
            <w:tcW w:w="1191" w:type="dxa"/>
            <w:vAlign w:val="center"/>
          </w:tcPr>
          <w:p w14:paraId="722A0F1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1C70C127" w14:textId="77777777">
        <w:trPr>
          <w:jc w:val="center"/>
        </w:trPr>
        <w:tc>
          <w:tcPr>
            <w:tcW w:w="4309" w:type="dxa"/>
            <w:vAlign w:val="center"/>
          </w:tcPr>
          <w:p w14:paraId="5A477A71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033117F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1,60</w:t>
            </w:r>
          </w:p>
        </w:tc>
        <w:tc>
          <w:tcPr>
            <w:tcW w:w="1701" w:type="dxa"/>
            <w:vAlign w:val="center"/>
          </w:tcPr>
          <w:p w14:paraId="0D71538C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1,18-2,16</w:t>
            </w:r>
          </w:p>
        </w:tc>
        <w:tc>
          <w:tcPr>
            <w:tcW w:w="1191" w:type="dxa"/>
            <w:vAlign w:val="center"/>
          </w:tcPr>
          <w:p w14:paraId="4F9EDC2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0,003**</w:t>
            </w:r>
          </w:p>
        </w:tc>
      </w:tr>
      <w:tr w:rsidR="00DD641D" w14:paraId="705C47F9" w14:textId="77777777">
        <w:trPr>
          <w:jc w:val="center"/>
        </w:trPr>
        <w:tc>
          <w:tcPr>
            <w:tcW w:w="4309" w:type="dxa"/>
            <w:vAlign w:val="center"/>
          </w:tcPr>
          <w:p w14:paraId="2CAEA7BF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4366152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1,43</w:t>
            </w:r>
          </w:p>
        </w:tc>
        <w:tc>
          <w:tcPr>
            <w:tcW w:w="1701" w:type="dxa"/>
            <w:vAlign w:val="center"/>
          </w:tcPr>
          <w:p w14:paraId="3E46D0B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1,05-1,96</w:t>
            </w:r>
          </w:p>
        </w:tc>
        <w:tc>
          <w:tcPr>
            <w:tcW w:w="1191" w:type="dxa"/>
            <w:vAlign w:val="center"/>
          </w:tcPr>
          <w:p w14:paraId="3DC2AC64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0,025*</w:t>
            </w:r>
          </w:p>
        </w:tc>
      </w:tr>
    </w:tbl>
    <w:p w14:paraId="1F421EE2" w14:textId="77777777" w:rsidR="00DD641D" w:rsidRDefault="00DD641D"/>
    <w:p w14:paraId="46A78E81" w14:textId="77777777" w:rsidR="00DD641D" w:rsidRPr="00EB7815" w:rsidRDefault="00000000">
      <w:pPr>
        <w:spacing w:after="60"/>
        <w:rPr>
          <w:lang w:val="ru-RU"/>
        </w:rPr>
      </w:pPr>
      <w:r w:rsidRPr="00EB7815">
        <w:rPr>
          <w:b/>
          <w:lang w:val="ru-RU"/>
        </w:rPr>
        <w:t>Игровая группа: игровое расстройство (</w:t>
      </w:r>
      <w:r>
        <w:rPr>
          <w:b/>
        </w:rPr>
        <w:t>GD</w:t>
      </w:r>
      <w:r w:rsidRPr="00EB7815">
        <w:rPr>
          <w:b/>
          <w:lang w:val="ru-RU"/>
        </w:rPr>
        <w:t>)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1701"/>
        <w:gridCol w:w="1701"/>
        <w:gridCol w:w="1191"/>
      </w:tblGrid>
      <w:tr w:rsidR="00DD641D" w14:paraId="270A5278" w14:textId="77777777">
        <w:trPr>
          <w:tblHeader/>
          <w:jc w:val="center"/>
        </w:trPr>
        <w:tc>
          <w:tcPr>
            <w:tcW w:w="4309" w:type="dxa"/>
            <w:vAlign w:val="center"/>
          </w:tcPr>
          <w:p w14:paraId="2512D2D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Предикторы</w:t>
            </w:r>
          </w:p>
        </w:tc>
        <w:tc>
          <w:tcPr>
            <w:tcW w:w="1701" w:type="dxa"/>
            <w:vAlign w:val="center"/>
          </w:tcPr>
          <w:p w14:paraId="5E30469E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Отношение шансов</w:t>
            </w:r>
          </w:p>
        </w:tc>
        <w:tc>
          <w:tcPr>
            <w:tcW w:w="1701" w:type="dxa"/>
            <w:vAlign w:val="center"/>
          </w:tcPr>
          <w:p w14:paraId="7D120F89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ДИ</w:t>
            </w:r>
          </w:p>
        </w:tc>
        <w:tc>
          <w:tcPr>
            <w:tcW w:w="1191" w:type="dxa"/>
            <w:vAlign w:val="center"/>
          </w:tcPr>
          <w:p w14:paraId="38EAE970" w14:textId="77777777" w:rsidR="00DD641D" w:rsidRDefault="00000000">
            <w:pPr>
              <w:spacing w:line="252" w:lineRule="auto"/>
              <w:jc w:val="center"/>
            </w:pPr>
            <w:r>
              <w:rPr>
                <w:b/>
                <w:sz w:val="20"/>
              </w:rPr>
              <w:t>p</w:t>
            </w:r>
          </w:p>
        </w:tc>
      </w:tr>
      <w:tr w:rsidR="00DD641D" w14:paraId="3D7B7953" w14:textId="77777777">
        <w:trPr>
          <w:jc w:val="center"/>
        </w:trPr>
        <w:tc>
          <w:tcPr>
            <w:tcW w:w="4309" w:type="dxa"/>
            <w:vAlign w:val="center"/>
          </w:tcPr>
          <w:p w14:paraId="520A84D5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(Константа)</w:t>
            </w:r>
          </w:p>
        </w:tc>
        <w:tc>
          <w:tcPr>
            <w:tcW w:w="1701" w:type="dxa"/>
            <w:vAlign w:val="center"/>
          </w:tcPr>
          <w:p w14:paraId="7896C4E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14:paraId="4B0CD6D7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0,00-0,00</w:t>
            </w:r>
          </w:p>
        </w:tc>
        <w:tc>
          <w:tcPr>
            <w:tcW w:w="1191" w:type="dxa"/>
            <w:vAlign w:val="center"/>
          </w:tcPr>
          <w:p w14:paraId="469AD8C9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&lt; 0,001***</w:t>
            </w:r>
          </w:p>
        </w:tc>
      </w:tr>
      <w:tr w:rsidR="00DD641D" w14:paraId="763368F9" w14:textId="77777777">
        <w:trPr>
          <w:jc w:val="center"/>
        </w:trPr>
        <w:tc>
          <w:tcPr>
            <w:tcW w:w="4309" w:type="dxa"/>
            <w:vAlign w:val="center"/>
          </w:tcPr>
          <w:p w14:paraId="44EA4AFB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DERS (сумма)</w:t>
            </w:r>
          </w:p>
        </w:tc>
        <w:tc>
          <w:tcPr>
            <w:tcW w:w="1701" w:type="dxa"/>
            <w:vAlign w:val="center"/>
          </w:tcPr>
          <w:p w14:paraId="6B4B5340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4,46</w:t>
            </w:r>
          </w:p>
        </w:tc>
        <w:tc>
          <w:tcPr>
            <w:tcW w:w="1701" w:type="dxa"/>
            <w:vAlign w:val="center"/>
          </w:tcPr>
          <w:p w14:paraId="43C5B6C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1,80-11,02</w:t>
            </w:r>
          </w:p>
        </w:tc>
        <w:tc>
          <w:tcPr>
            <w:tcW w:w="1191" w:type="dxa"/>
            <w:vAlign w:val="center"/>
          </w:tcPr>
          <w:p w14:paraId="13030715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0,001**</w:t>
            </w:r>
          </w:p>
        </w:tc>
      </w:tr>
      <w:tr w:rsidR="00DD641D" w14:paraId="5310C31F" w14:textId="77777777">
        <w:trPr>
          <w:jc w:val="center"/>
        </w:trPr>
        <w:tc>
          <w:tcPr>
            <w:tcW w:w="4309" w:type="dxa"/>
            <w:vAlign w:val="center"/>
          </w:tcPr>
          <w:p w14:paraId="2D4F0913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PFS (сумма)</w:t>
            </w:r>
          </w:p>
        </w:tc>
        <w:tc>
          <w:tcPr>
            <w:tcW w:w="1701" w:type="dxa"/>
            <w:vAlign w:val="center"/>
          </w:tcPr>
          <w:p w14:paraId="4C1BF80A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1,81</w:t>
            </w:r>
          </w:p>
        </w:tc>
        <w:tc>
          <w:tcPr>
            <w:tcW w:w="1701" w:type="dxa"/>
            <w:vAlign w:val="center"/>
          </w:tcPr>
          <w:p w14:paraId="6807852D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0,73-4,49</w:t>
            </w:r>
          </w:p>
        </w:tc>
        <w:tc>
          <w:tcPr>
            <w:tcW w:w="1191" w:type="dxa"/>
            <w:vAlign w:val="center"/>
          </w:tcPr>
          <w:p w14:paraId="038CFE9F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0,199</w:t>
            </w:r>
          </w:p>
        </w:tc>
      </w:tr>
      <w:tr w:rsidR="00DD641D" w14:paraId="692B7A1B" w14:textId="77777777">
        <w:trPr>
          <w:jc w:val="center"/>
        </w:trPr>
        <w:tc>
          <w:tcPr>
            <w:tcW w:w="4309" w:type="dxa"/>
            <w:vAlign w:val="center"/>
          </w:tcPr>
          <w:p w14:paraId="451A604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Наблюдения</w:t>
            </w:r>
          </w:p>
        </w:tc>
        <w:tc>
          <w:tcPr>
            <w:tcW w:w="1701" w:type="dxa"/>
            <w:vAlign w:val="center"/>
          </w:tcPr>
          <w:p w14:paraId="1FECE388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604</w:t>
            </w:r>
          </w:p>
        </w:tc>
        <w:tc>
          <w:tcPr>
            <w:tcW w:w="1701" w:type="dxa"/>
            <w:vAlign w:val="center"/>
          </w:tcPr>
          <w:p w14:paraId="5DE19A6B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32EDD5AF" w14:textId="77777777" w:rsidR="00DD641D" w:rsidRDefault="00DD641D">
            <w:pPr>
              <w:spacing w:line="252" w:lineRule="auto"/>
              <w:jc w:val="center"/>
            </w:pPr>
          </w:p>
        </w:tc>
      </w:tr>
      <w:tr w:rsidR="00DD641D" w14:paraId="2C7C7007" w14:textId="77777777">
        <w:trPr>
          <w:jc w:val="center"/>
        </w:trPr>
        <w:tc>
          <w:tcPr>
            <w:tcW w:w="4309" w:type="dxa"/>
            <w:vAlign w:val="center"/>
          </w:tcPr>
          <w:p w14:paraId="43F84E5A" w14:textId="77777777" w:rsidR="00DD641D" w:rsidRDefault="00000000">
            <w:pPr>
              <w:spacing w:line="252" w:lineRule="auto"/>
            </w:pPr>
            <w:r>
              <w:rPr>
                <w:sz w:val="20"/>
              </w:rPr>
              <w:t>R^2 Нагелькерке</w:t>
            </w:r>
          </w:p>
        </w:tc>
        <w:tc>
          <w:tcPr>
            <w:tcW w:w="1701" w:type="dxa"/>
            <w:vAlign w:val="center"/>
          </w:tcPr>
          <w:p w14:paraId="27E2A5CB" w14:textId="77777777" w:rsidR="00DD641D" w:rsidRDefault="00000000">
            <w:pPr>
              <w:spacing w:line="252" w:lineRule="auto"/>
              <w:jc w:val="center"/>
            </w:pPr>
            <w:r>
              <w:rPr>
                <w:sz w:val="20"/>
              </w:rPr>
              <w:t>0,220</w:t>
            </w:r>
          </w:p>
        </w:tc>
        <w:tc>
          <w:tcPr>
            <w:tcW w:w="1701" w:type="dxa"/>
            <w:vAlign w:val="center"/>
          </w:tcPr>
          <w:p w14:paraId="3CFF2115" w14:textId="77777777" w:rsidR="00DD641D" w:rsidRDefault="00DD641D">
            <w:pPr>
              <w:spacing w:line="252" w:lineRule="auto"/>
              <w:jc w:val="center"/>
            </w:pPr>
          </w:p>
        </w:tc>
        <w:tc>
          <w:tcPr>
            <w:tcW w:w="1191" w:type="dxa"/>
            <w:vAlign w:val="center"/>
          </w:tcPr>
          <w:p w14:paraId="22A4EF48" w14:textId="77777777" w:rsidR="00DD641D" w:rsidRDefault="00DD641D">
            <w:pPr>
              <w:spacing w:line="252" w:lineRule="auto"/>
              <w:jc w:val="center"/>
            </w:pPr>
          </w:p>
        </w:tc>
      </w:tr>
    </w:tbl>
    <w:p w14:paraId="3CE29256" w14:textId="77777777" w:rsidR="00DD641D" w:rsidRDefault="00DD641D"/>
    <w:p w14:paraId="5B14C641" w14:textId="77777777" w:rsidR="00DD641D" w:rsidRDefault="00000000">
      <w:pPr>
        <w:spacing w:after="160"/>
      </w:pPr>
      <w:r w:rsidRPr="00EB7815">
        <w:rPr>
          <w:i/>
          <w:lang w:val="ru-RU"/>
        </w:rPr>
        <w:t xml:space="preserve">Игровые группы сравнивались с непроблемным игровым поведением. </w:t>
      </w:r>
      <w:r>
        <w:rPr>
          <w:i/>
        </w:rPr>
        <w:t>ДИ - доверительный интервал; DERS - Difficulties in Emotion Regulation Scale; PFS - Procrastination Questionnaire for Students; DERS и PFS z-стандартизированы; уровень значимости: p* &lt; 0,05, p** &lt; 0,01, p*** &lt; 0,001.</w:t>
      </w:r>
    </w:p>
    <w:p w14:paraId="4706A3B9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Обсуждение</w:t>
      </w:r>
    </w:p>
    <w:p w14:paraId="64C3D090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В настоящем исследовании эмоциональная дизрегуляция как потенциальный фактор риска </w:t>
      </w:r>
      <w:r>
        <w:t>PG</w:t>
      </w:r>
      <w:r w:rsidRPr="00EB7815">
        <w:rPr>
          <w:lang w:val="ru-RU"/>
        </w:rPr>
        <w:t xml:space="preserve"> была подробно изучена на репрезентативной выборке подростков с учетом критериев </w:t>
      </w:r>
      <w:r>
        <w:t>PG</w:t>
      </w:r>
      <w:r w:rsidRPr="00EB7815">
        <w:rPr>
          <w:lang w:val="ru-RU"/>
        </w:rPr>
        <w:t xml:space="preserve"> двух наиболее влиятельных классификационных систем, а также возрастных и гендерных эффектов, - причем впервые одновременно в кросс-секционном и проспективном дизайне. Соответственно, удалось выявить факторы риска, относящиеся к детям и </w:t>
      </w:r>
      <w:r w:rsidRPr="00EB7815">
        <w:rPr>
          <w:lang w:val="ru-RU"/>
        </w:rPr>
        <w:lastRenderedPageBreak/>
        <w:t xml:space="preserve">подросткам, а также к мальчикам и девочкам с точки зрения их компетенций регуляции эмоций. Благодаря использованию критериев </w:t>
      </w:r>
      <w:r>
        <w:t>ICD</w:t>
      </w:r>
      <w:r w:rsidRPr="00EB7815">
        <w:rPr>
          <w:lang w:val="ru-RU"/>
        </w:rPr>
        <w:t xml:space="preserve">-11 стало возможным отдельно различать факторы </w:t>
      </w:r>
      <w:r>
        <w:t>ER</w:t>
      </w:r>
      <w:r w:rsidRPr="00EB7815">
        <w:rPr>
          <w:lang w:val="ru-RU"/>
        </w:rPr>
        <w:t xml:space="preserve">, вносящие вклад в </w:t>
      </w:r>
      <w:r>
        <w:t>HG</w:t>
      </w:r>
      <w:r w:rsidRPr="00EB7815">
        <w:rPr>
          <w:lang w:val="ru-RU"/>
        </w:rPr>
        <w:t xml:space="preserve"> и </w:t>
      </w:r>
      <w:r>
        <w:t>GD</w:t>
      </w:r>
      <w:r w:rsidRPr="00EB7815">
        <w:rPr>
          <w:lang w:val="ru-RU"/>
        </w:rPr>
        <w:t xml:space="preserve"> [24]. </w:t>
      </w:r>
      <w:r>
        <w:t>Lee</w:t>
      </w:r>
      <w:r w:rsidRPr="00EB7815">
        <w:rPr>
          <w:lang w:val="ru-RU"/>
        </w:rPr>
        <w:t xml:space="preserve"> и соавт. (2017) утверждают, что </w:t>
      </w:r>
      <w:r>
        <w:t>PG</w:t>
      </w:r>
      <w:r w:rsidRPr="00EB7815">
        <w:rPr>
          <w:lang w:val="ru-RU"/>
        </w:rPr>
        <w:t xml:space="preserve"> следует рассматривать как гетерогенное расстройство, и выделяют различные его подтипы [13]. Поэтому наряду с импульсивно-агрессивным и социально обусловленным типами они обсуждают подгруппу с эмоционально уязвимыми чертами, использующую игры как стратегию ухода или совладания [13]. Следовательно, эмоциональный дистресс может запускать избыточную игру у тех подростков, которым не хватает эффективных компетенций </w:t>
      </w:r>
      <w:r>
        <w:t>ER</w:t>
      </w:r>
      <w:r w:rsidRPr="00EB7815">
        <w:rPr>
          <w:lang w:val="ru-RU"/>
        </w:rPr>
        <w:t xml:space="preserve">. Дополнительно модель </w:t>
      </w:r>
      <w:r>
        <w:t>I</w:t>
      </w:r>
      <w:r w:rsidRPr="00EB7815">
        <w:rPr>
          <w:lang w:val="ru-RU"/>
        </w:rPr>
        <w:t>-</w:t>
      </w:r>
      <w:r>
        <w:t>PACE</w:t>
      </w:r>
      <w:r w:rsidRPr="00EB7815">
        <w:rPr>
          <w:lang w:val="ru-RU"/>
        </w:rPr>
        <w:t xml:space="preserve">, разработанная </w:t>
      </w:r>
      <w:r>
        <w:t>Brand</w:t>
      </w:r>
      <w:r w:rsidRPr="00EB7815">
        <w:rPr>
          <w:lang w:val="ru-RU"/>
        </w:rPr>
        <w:t xml:space="preserve"> и соавт. (2016), подчеркивает значимость дефицитарных </w:t>
      </w:r>
      <w:r>
        <w:t>ER</w:t>
      </w:r>
      <w:r w:rsidRPr="00EB7815">
        <w:rPr>
          <w:lang w:val="ru-RU"/>
        </w:rPr>
        <w:t xml:space="preserve">-процессов в гейминге, опираясь на нейробиологические данные, свидетельствующие о дисбалансе между контурами </w:t>
      </w:r>
      <w:r>
        <w:t>ER</w:t>
      </w:r>
      <w:r w:rsidRPr="00EB7815">
        <w:rPr>
          <w:lang w:val="ru-RU"/>
        </w:rPr>
        <w:t xml:space="preserve"> и когнитивной гибкостью [49]. Кроме того, алекситимия - неспособность описывать и обозначать эмоции как у себя, так и у других - также связана с </w:t>
      </w:r>
      <w:r>
        <w:t>PG</w:t>
      </w:r>
      <w:r w:rsidRPr="00EB7815">
        <w:rPr>
          <w:lang w:val="ru-RU"/>
        </w:rPr>
        <w:t xml:space="preserve"> у молодых взрослых [50]. В соответствии с этими данными наши результаты показали, что трудности когнитивных и поведенческих </w:t>
      </w:r>
      <w:r>
        <w:t>ER</w:t>
      </w:r>
      <w:r w:rsidRPr="00EB7815">
        <w:rPr>
          <w:lang w:val="ru-RU"/>
        </w:rPr>
        <w:t xml:space="preserve">-процессов, включая более выраженную склонность к прокрастинации, представляют собой факторы риска развития </w:t>
      </w:r>
      <w:r>
        <w:t>PG</w:t>
      </w:r>
      <w:r w:rsidRPr="00EB7815">
        <w:rPr>
          <w:lang w:val="ru-RU"/>
        </w:rPr>
        <w:t xml:space="preserve"> у детей и подростков как в кросс-секционном, так и в проспективном анализе. Комбинация </w:t>
      </w:r>
      <w:r>
        <w:t>DERS</w:t>
      </w:r>
      <w:r w:rsidRPr="00EB7815">
        <w:rPr>
          <w:lang w:val="ru-RU"/>
        </w:rPr>
        <w:t>-</w:t>
      </w:r>
      <w:r>
        <w:t>SF</w:t>
      </w:r>
      <w:r w:rsidRPr="00EB7815">
        <w:rPr>
          <w:lang w:val="ru-RU"/>
        </w:rPr>
        <w:t xml:space="preserve"> и </w:t>
      </w:r>
      <w:r>
        <w:t>PFS</w:t>
      </w:r>
      <w:r w:rsidRPr="00EB7815">
        <w:rPr>
          <w:lang w:val="ru-RU"/>
        </w:rPr>
        <w:t xml:space="preserve">-4 позволила представить широкую картину различных измерений эмоциональной дизрегуляции на основе концепции способностей и стратегий </w:t>
      </w:r>
      <w:r>
        <w:t>ER</w:t>
      </w:r>
      <w:r w:rsidRPr="00EB7815">
        <w:rPr>
          <w:lang w:val="ru-RU"/>
        </w:rPr>
        <w:t xml:space="preserve"> [17, 18].</w:t>
      </w:r>
    </w:p>
    <w:p w14:paraId="472514C8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Характеристики </w:t>
      </w:r>
      <w:r>
        <w:t>ER</w:t>
      </w:r>
      <w:r w:rsidRPr="00EB7815">
        <w:rPr>
          <w:lang w:val="ru-RU"/>
        </w:rPr>
        <w:t xml:space="preserve"> как факторы риска более выраженных симптомов </w:t>
      </w:r>
      <w:r>
        <w:t>PG</w:t>
      </w:r>
      <w:r w:rsidRPr="00EB7815">
        <w:rPr>
          <w:lang w:val="ru-RU"/>
        </w:rPr>
        <w:t xml:space="preserve"> различались у детей и подростков. Если для детей наиболее значимыми оказались трудности четкой идентификации и осознания собственных эмоций, то для подростков - их принятие. Эмоциональная ясность и осознанность считаются фундаментальными для всех последующих аспектов </w:t>
      </w:r>
      <w:r>
        <w:t>ER</w:t>
      </w:r>
      <w:r w:rsidRPr="00EB7815">
        <w:rPr>
          <w:lang w:val="ru-RU"/>
        </w:rPr>
        <w:t xml:space="preserve"> [51] и потому представляют собой важную задачу развития в детском возрасте. Предыдущие исследования показывают, что осознание собственных эмоций является метакогнитивной задачей, к которой дети еще не вполне способны [52], что частично объясняется незрелостью функций исполнительного контроля [22, 52, 53]. Кроме того, принадлежность к детской возрастной группе была значимой ковариатой, связанной с большим числом симптомов </w:t>
      </w:r>
      <w:r>
        <w:t>PG</w:t>
      </w:r>
      <w:r w:rsidRPr="00EB7815">
        <w:rPr>
          <w:lang w:val="ru-RU"/>
        </w:rPr>
        <w:t xml:space="preserve"> на исходном этапе, что указывает на необходимость учитывать возможные возрастные эффекты. Эта связь может объясняться нейроструктурным и нейрофункциональным сходством незрелой </w:t>
      </w:r>
      <w:r>
        <w:t>ER</w:t>
      </w:r>
      <w:r w:rsidRPr="00EB7815">
        <w:rPr>
          <w:lang w:val="ru-RU"/>
        </w:rPr>
        <w:t xml:space="preserve"> и </w:t>
      </w:r>
      <w:r>
        <w:t>PG</w:t>
      </w:r>
      <w:r w:rsidRPr="00EB7815">
        <w:rPr>
          <w:lang w:val="ru-RU"/>
        </w:rPr>
        <w:t xml:space="preserve">, особенно на уровне префронтальных и фронтолимбических областей [10, 24]. Учитывая ограниченное количество доступных данных о возрасте и </w:t>
      </w:r>
      <w:r>
        <w:t>PG</w:t>
      </w:r>
      <w:r w:rsidRPr="00EB7815">
        <w:rPr>
          <w:lang w:val="ru-RU"/>
        </w:rPr>
        <w:t xml:space="preserve"> [9], будущие исследования должны более детально анализировать возрастные группы подросткового периода.</w:t>
      </w:r>
    </w:p>
    <w:p w14:paraId="749B08C8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Настоящее исследование также добавляет важные аспекты к неоднократно воспроизводимым гендерным различиям в распространенности </w:t>
      </w:r>
      <w:r>
        <w:t>PG</w:t>
      </w:r>
      <w:r w:rsidRPr="00EB7815">
        <w:rPr>
          <w:lang w:val="ru-RU"/>
        </w:rPr>
        <w:t xml:space="preserve">, при которой мальчики страдают чаще [9, 54]. Пониженная осознанность эмоций оказалась значимым фактором риска большего числа симптомов </w:t>
      </w:r>
      <w:r>
        <w:t>PG</w:t>
      </w:r>
      <w:r w:rsidRPr="00EB7815">
        <w:rPr>
          <w:lang w:val="ru-RU"/>
        </w:rPr>
        <w:t xml:space="preserve"> у мальчиков, что согласуется с предыдущими данными о гендерных различиях в </w:t>
      </w:r>
      <w:r>
        <w:t>ER</w:t>
      </w:r>
      <w:r w:rsidRPr="00EB7815">
        <w:rPr>
          <w:lang w:val="ru-RU"/>
        </w:rPr>
        <w:t xml:space="preserve">-процессах [55, 56]. Исследования развития показывают, что начало пубертата у мальчиков наступает примерно на два года позже, чем у девочек [57]. Дефициты у мальчиков могут отчасти объясняться более поздним началом полового созревания и, следовательно, большей незрелостью исполнительных функций. Если когнитивные </w:t>
      </w:r>
      <w:r w:rsidRPr="00EB7815">
        <w:rPr>
          <w:lang w:val="ru-RU"/>
        </w:rPr>
        <w:lastRenderedPageBreak/>
        <w:t xml:space="preserve">способности у девочек развиваются раньше, то более выраженные трудности принятия эмоций, а не их распознавания, у девочек - аналогично подростковой возрастной группе - получают понятное объяснение. Согласно биопсихосоциальной модели, гендерные различия в </w:t>
      </w:r>
      <w:r>
        <w:t>ER</w:t>
      </w:r>
      <w:r w:rsidRPr="00EB7815">
        <w:rPr>
          <w:lang w:val="ru-RU"/>
        </w:rPr>
        <w:t xml:space="preserve">-процессах формируются через сочетание биологических различий, механизмов социального научения и специфических взаимодействий социальных контекстов и ожиданий [58]. Поэтому, в соответствии с предыдущими результатами [59], стратегии и способности </w:t>
      </w:r>
      <w:r>
        <w:t>ER</w:t>
      </w:r>
      <w:r w:rsidRPr="00EB7815">
        <w:rPr>
          <w:lang w:val="ru-RU"/>
        </w:rPr>
        <w:t xml:space="preserve"> существенно различались между полами. Примечательно, что значимая связь между прокрастинацией и </w:t>
      </w:r>
      <w:r>
        <w:t>PG</w:t>
      </w:r>
      <w:r w:rsidRPr="00EB7815">
        <w:rPr>
          <w:lang w:val="ru-RU"/>
        </w:rPr>
        <w:t xml:space="preserve"> у подростков была описана здесь впервые. Эта неадаптивная стратегия </w:t>
      </w:r>
      <w:r>
        <w:t>ER</w:t>
      </w:r>
      <w:r w:rsidRPr="00EB7815">
        <w:rPr>
          <w:lang w:val="ru-RU"/>
        </w:rPr>
        <w:t xml:space="preserve">, по-видимому, является важным фактором риска </w:t>
      </w:r>
      <w:r>
        <w:t>PG</w:t>
      </w:r>
      <w:r w:rsidRPr="00EB7815">
        <w:rPr>
          <w:lang w:val="ru-RU"/>
        </w:rPr>
        <w:t xml:space="preserve"> у детей и подростков, а также у мальчиков и девочек, и должна специально учитываться в терапии.</w:t>
      </w:r>
    </w:p>
    <w:p w14:paraId="7AACCF79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Благодаря лонгитюдному подходу стало возможным проследить развитие игрового поведения во времени. С одной стороны, результаты логистической регрессии показали, что трудности </w:t>
      </w:r>
      <w:r>
        <w:t>ER</w:t>
      </w:r>
      <w:r w:rsidRPr="00EB7815">
        <w:rPr>
          <w:lang w:val="ru-RU"/>
        </w:rPr>
        <w:t xml:space="preserve"> способствуют возникновению </w:t>
      </w:r>
      <w:r>
        <w:t>PG</w:t>
      </w:r>
      <w:r w:rsidRPr="00EB7815">
        <w:rPr>
          <w:lang w:val="ru-RU"/>
        </w:rPr>
        <w:t xml:space="preserve">. С другой стороны, сравнение подростков с ремиссией игрового поведения и подростков с устойчивым проблемным игровым поведением выявило, что неадаптивная стратегия </w:t>
      </w:r>
      <w:r>
        <w:t>ER</w:t>
      </w:r>
      <w:r w:rsidRPr="00EB7815">
        <w:rPr>
          <w:lang w:val="ru-RU"/>
        </w:rPr>
        <w:t xml:space="preserve"> - прокрастинация - выступает фактором, поддерживающим </w:t>
      </w:r>
      <w:r>
        <w:t>PG</w:t>
      </w:r>
      <w:r w:rsidRPr="00EB7815">
        <w:rPr>
          <w:lang w:val="ru-RU"/>
        </w:rPr>
        <w:t xml:space="preserve">. Подход, предполагающий более детальный анализ игрового поведения во времени с выделением разных игровых групп, редко используется в имеющихся исследованиях. В одном лонгитюдном исследовании анализировались четыре разных игровых паттерна у подростков на основе критериев зависимости </w:t>
      </w:r>
      <w:r>
        <w:t>DSM</w:t>
      </w:r>
      <w:r w:rsidRPr="00EB7815">
        <w:rPr>
          <w:lang w:val="ru-RU"/>
        </w:rPr>
        <w:t>-</w:t>
      </w:r>
      <w:r>
        <w:t>IV</w:t>
      </w:r>
      <w:r w:rsidRPr="00EB7815">
        <w:rPr>
          <w:lang w:val="ru-RU"/>
        </w:rPr>
        <w:t xml:space="preserve"> [33]. Авторы предположили, что возникновение </w:t>
      </w:r>
      <w:r>
        <w:t>PG</w:t>
      </w:r>
      <w:r w:rsidRPr="00EB7815">
        <w:rPr>
          <w:lang w:val="ru-RU"/>
        </w:rPr>
        <w:t xml:space="preserve"> у подростков связано с более высокой импульсивностью, более низкой социальной компетентностью и эмпатией, а также с более слабыми навыками </w:t>
      </w:r>
      <w:r>
        <w:t>ER</w:t>
      </w:r>
      <w:r w:rsidRPr="00EB7815">
        <w:rPr>
          <w:lang w:val="ru-RU"/>
        </w:rPr>
        <w:t xml:space="preserve"> [33]. Кроме того, сравнение различных игровых групп во времени использовалось в исследовании </w:t>
      </w:r>
      <w:r>
        <w:t>Tsai</w:t>
      </w:r>
      <w:r w:rsidRPr="00EB7815">
        <w:rPr>
          <w:lang w:val="ru-RU"/>
        </w:rPr>
        <w:t xml:space="preserve"> и соавт. (2020), проведенном среди молодых студентов колледжей с интернет-зависимостью [60]. Авторы предполагают, что более высокая импульсивность способствует формированию нового аддиктивного поведения [60]. Будущие исследования должны дополнительно изучать развитие </w:t>
      </w:r>
      <w:r>
        <w:t>PG</w:t>
      </w:r>
      <w:r w:rsidRPr="00EB7815">
        <w:rPr>
          <w:lang w:val="ru-RU"/>
        </w:rPr>
        <w:t xml:space="preserve"> во времени, чтобы точнее выделять факторы, способствующие возникновению и поддержанию нарушения, а также лучше понимать временную стабильность </w:t>
      </w:r>
      <w:r>
        <w:t>PG</w:t>
      </w:r>
      <w:r w:rsidRPr="00EB7815">
        <w:rPr>
          <w:lang w:val="ru-RU"/>
        </w:rPr>
        <w:t xml:space="preserve"> с учетом частоты ремиссий.</w:t>
      </w:r>
    </w:p>
    <w:p w14:paraId="52A047AC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Наконец, еще одной сильной стороной данного исследования стало различение нормального и рискованного игрового поведения, а также манифестного игрового расстройства в соответствии с критериями </w:t>
      </w:r>
      <w:r>
        <w:t>ICD</w:t>
      </w:r>
      <w:r w:rsidRPr="00EB7815">
        <w:rPr>
          <w:lang w:val="ru-RU"/>
        </w:rPr>
        <w:t xml:space="preserve">-11. Интересно, что трудности, связанные со стратегией </w:t>
      </w:r>
      <w:r>
        <w:t>ER</w:t>
      </w:r>
      <w:r w:rsidRPr="00EB7815">
        <w:rPr>
          <w:lang w:val="ru-RU"/>
        </w:rPr>
        <w:t xml:space="preserve"> в виде прокрастинации, по-видимому, особенно затрагивали подростков, находящихся в группе риска развития </w:t>
      </w:r>
      <w:r>
        <w:t>PG</w:t>
      </w:r>
      <w:r w:rsidRPr="00EB7815">
        <w:rPr>
          <w:lang w:val="ru-RU"/>
        </w:rPr>
        <w:t xml:space="preserve">. В то же время эмоциональная дизрегуляция в виде трудностей </w:t>
      </w:r>
      <w:r>
        <w:t>ER</w:t>
      </w:r>
      <w:r w:rsidRPr="00EB7815">
        <w:rPr>
          <w:lang w:val="ru-RU"/>
        </w:rPr>
        <w:t xml:space="preserve">-способностей влияла как на подростков с рискованным игровым поведением, так и на подростков с манифестным игровым расстройством. Однако следует отметить, что число подростков с </w:t>
      </w:r>
      <w:r>
        <w:t>GD</w:t>
      </w:r>
      <w:r w:rsidRPr="00EB7815">
        <w:rPr>
          <w:lang w:val="ru-RU"/>
        </w:rPr>
        <w:t xml:space="preserve"> по </w:t>
      </w:r>
      <w:r>
        <w:t>GADIS</w:t>
      </w:r>
      <w:r w:rsidRPr="00EB7815">
        <w:rPr>
          <w:lang w:val="ru-RU"/>
        </w:rPr>
        <w:t>-</w:t>
      </w:r>
      <w:r>
        <w:t>A</w:t>
      </w:r>
      <w:r w:rsidRPr="00EB7815">
        <w:rPr>
          <w:lang w:val="ru-RU"/>
        </w:rPr>
        <w:t xml:space="preserve"> в выборке последующего обследования было очень небольшим (</w:t>
      </w:r>
      <w:r>
        <w:t>n</w:t>
      </w:r>
      <w:r w:rsidRPr="00EB7815">
        <w:rPr>
          <w:lang w:val="ru-RU"/>
        </w:rPr>
        <w:t xml:space="preserve"> = 8). Тем не менее наблюдался сильный эффект, подчеркивающий важность нарушенных способностей </w:t>
      </w:r>
      <w:r>
        <w:t>ER</w:t>
      </w:r>
      <w:r w:rsidRPr="00EB7815">
        <w:rPr>
          <w:lang w:val="ru-RU"/>
        </w:rPr>
        <w:t xml:space="preserve"> при </w:t>
      </w:r>
      <w:r>
        <w:t>PG</w:t>
      </w:r>
      <w:r w:rsidRPr="00EB7815">
        <w:rPr>
          <w:lang w:val="ru-RU"/>
        </w:rPr>
        <w:t>.</w:t>
      </w:r>
    </w:p>
    <w:p w14:paraId="69EA6EEB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Комбинирование подходов </w:t>
      </w:r>
      <w:r>
        <w:t>DSM</w:t>
      </w:r>
      <w:r w:rsidRPr="00EB7815">
        <w:rPr>
          <w:lang w:val="ru-RU"/>
        </w:rPr>
        <w:t xml:space="preserve">-5 и </w:t>
      </w:r>
      <w:r>
        <w:t>ICD</w:t>
      </w:r>
      <w:r w:rsidRPr="00EB7815">
        <w:rPr>
          <w:lang w:val="ru-RU"/>
        </w:rPr>
        <w:t xml:space="preserve">-11 обеспечило как широкий скрининг, так и специфический анализ различных игровых паттернов, а также позволило показать высокую корреляцию между обоими инструментами во времени. В рамках </w:t>
      </w:r>
      <w:r>
        <w:t>ICD</w:t>
      </w:r>
      <w:r w:rsidRPr="00EB7815">
        <w:rPr>
          <w:lang w:val="ru-RU"/>
        </w:rPr>
        <w:t xml:space="preserve">-11 ключевое значение </w:t>
      </w:r>
      <w:r w:rsidRPr="00EB7815">
        <w:rPr>
          <w:lang w:val="ru-RU"/>
        </w:rPr>
        <w:lastRenderedPageBreak/>
        <w:t>имели нарушения, связанные с поведением, а следовательно, эта система особенно важна для клинической значимости симптоматики у подростков и для интерпретации представленных результатов.</w:t>
      </w:r>
    </w:p>
    <w:p w14:paraId="61AE1A9D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Ограничения</w:t>
      </w:r>
    </w:p>
    <w:p w14:paraId="6F3FF2CB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Хотя современные исследования показывают, что депрессия, тревога или СДВГ тесно связаны с </w:t>
      </w:r>
      <w:r>
        <w:t>PG</w:t>
      </w:r>
      <w:r w:rsidRPr="00EB7815">
        <w:rPr>
          <w:lang w:val="ru-RU"/>
        </w:rPr>
        <w:t xml:space="preserve"> [61], сопутствующие расстройства у участников опроса учесть не удалось. Следовательно, сопутствующие психические нарушения могли искажать оценку способности к регуляции эмоций [62]. В этом контексте, хотя прокрастинация не является диагностическим критерием СДВГ, исследование молодых взрослых указывает на связь между СДВГ и более высокими баллами прокрастинации. Поэтому оценка этих коморбидных состояний была бы тем более важной [63]. Хотя целью было обеспечение репрезентативности по возрасту, полу и региону проживания, проведение онлайн-опросов требовало доступа к интернету, который отсутствует примерно в 5% немецких домохозяйств [64]. Кроме того, истинная репрезентативность остается неопределенной из-за неизвестных факторов, которые могут определять готовность людей вообще участвовать в онлайн-опросах. Также могли быть недопредставлены домохозяйства с недостаточным знанием немецкого языка, поскольку все опросники были на немецком языке. Хотя тестирование эквивалентности характеристик выборки не выявило значимых различий между базовой выборкой и выборкой последующего обследования, число участников на втором этапе было примерно на 50% меньше, что также могло повлиять на результаты. Общей методологической проблемой является использование самоотчетов, подверженных ошибкам воспоминания и социально желательным ответам. Несмотря на то что участников просили заполнять опросники самостоятельно, влияние третьих лиц полностью исключить нельзя. Поэтому будущие исследования должны включать дополнительные родительские опросники для дополнения оценки [например, </w:t>
      </w:r>
      <w:r>
        <w:t>GADIS</w:t>
      </w:r>
      <w:r w:rsidRPr="00EB7815">
        <w:rPr>
          <w:lang w:val="ru-RU"/>
        </w:rPr>
        <w:t>-</w:t>
      </w:r>
      <w:r>
        <w:t>P</w:t>
      </w:r>
      <w:r w:rsidRPr="00EB7815">
        <w:rPr>
          <w:lang w:val="ru-RU"/>
        </w:rPr>
        <w:t xml:space="preserve">, [65]] и клинические интервью как золотой стандарт диагностики </w:t>
      </w:r>
      <w:r>
        <w:t>PG</w:t>
      </w:r>
      <w:r w:rsidRPr="00EB7815">
        <w:rPr>
          <w:lang w:val="ru-RU"/>
        </w:rPr>
        <w:t xml:space="preserve">. Кроме того, внутренняя согласованность всех стандартизированных шкал оценивалась с помощью альфа Кронбаха. Подшкала эмоциональной осознанности </w:t>
      </w:r>
      <w:r>
        <w:t>DERS</w:t>
      </w:r>
      <w:r w:rsidRPr="00EB7815">
        <w:rPr>
          <w:lang w:val="ru-RU"/>
        </w:rPr>
        <w:t xml:space="preserve"> не достигла достаточного значения. Однако, поскольку внутренняя согласованность является необходимым, но не достаточным условием валидности, а альфа Кронбаха отражает не только свойства шкалы, но и характеристики выборки [66], мы решили сохранить эту подшкалу в анализе. Учитывая ранний этап исследований </w:t>
      </w:r>
      <w:r>
        <w:t>ER</w:t>
      </w:r>
      <w:r w:rsidRPr="00EB7815">
        <w:rPr>
          <w:lang w:val="ru-RU"/>
        </w:rPr>
        <w:t xml:space="preserve"> и </w:t>
      </w:r>
      <w:r>
        <w:t>PG</w:t>
      </w:r>
      <w:r w:rsidRPr="00EB7815">
        <w:rPr>
          <w:lang w:val="ru-RU"/>
        </w:rPr>
        <w:t>, такое решение представляется разумным, однако его следует иметь в виду при интерпретации результатов.</w:t>
      </w:r>
    </w:p>
    <w:p w14:paraId="035235F5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t>Клинические импликации</w:t>
      </w:r>
    </w:p>
    <w:p w14:paraId="03ECB42D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Трудности </w:t>
      </w:r>
      <w:r>
        <w:t>ER</w:t>
      </w:r>
      <w:r w:rsidRPr="00EB7815">
        <w:rPr>
          <w:lang w:val="ru-RU"/>
        </w:rPr>
        <w:t xml:space="preserve"> в целом оказались предикторами </w:t>
      </w:r>
      <w:r>
        <w:t>PG</w:t>
      </w:r>
      <w:r w:rsidRPr="00EB7815">
        <w:rPr>
          <w:lang w:val="ru-RU"/>
        </w:rPr>
        <w:t xml:space="preserve">. Следовательно, полученные результаты поддерживают включение специальных тренингов </w:t>
      </w:r>
      <w:r>
        <w:t>ER</w:t>
      </w:r>
      <w:r w:rsidRPr="00EB7815">
        <w:rPr>
          <w:lang w:val="ru-RU"/>
        </w:rPr>
        <w:t xml:space="preserve"> в программы профилактики и вмешательства при </w:t>
      </w:r>
      <w:r>
        <w:t>PG</w:t>
      </w:r>
      <w:r w:rsidRPr="00EB7815">
        <w:rPr>
          <w:lang w:val="ru-RU"/>
        </w:rPr>
        <w:t xml:space="preserve"> [67, 68]. Однако с учетом выявленной роли различных аспектов </w:t>
      </w:r>
      <w:r>
        <w:t>ER</w:t>
      </w:r>
      <w:r w:rsidRPr="00EB7815">
        <w:rPr>
          <w:lang w:val="ru-RU"/>
        </w:rPr>
        <w:t xml:space="preserve"> у мальчиков и девочек, а также у детей и подростков, необходим индивидуализированный подход, включающий майндфулнесс-ориентированную когнитивную терапию, диалектическую поведенческую терапию или терапию, основанную на принятии [69].</w:t>
      </w:r>
    </w:p>
    <w:p w14:paraId="2AC8D05C" w14:textId="77777777" w:rsidR="00DD641D" w:rsidRPr="00EB7815" w:rsidRDefault="00000000">
      <w:pPr>
        <w:pStyle w:val="1"/>
        <w:spacing w:before="0" w:after="80"/>
        <w:rPr>
          <w:lang w:val="ru-RU"/>
        </w:rPr>
      </w:pPr>
      <w:r w:rsidRPr="00EB7815">
        <w:rPr>
          <w:b w:val="0"/>
          <w:lang w:val="ru-RU"/>
        </w:rPr>
        <w:lastRenderedPageBreak/>
        <w:t>Заключение</w:t>
      </w:r>
    </w:p>
    <w:p w14:paraId="74EE11C3" w14:textId="77777777" w:rsidR="00DD641D" w:rsidRPr="00EB7815" w:rsidRDefault="00000000">
      <w:pPr>
        <w:spacing w:after="120"/>
        <w:ind w:firstLine="425"/>
        <w:rPr>
          <w:lang w:val="ru-RU"/>
        </w:rPr>
      </w:pPr>
      <w:r w:rsidRPr="00EB7815">
        <w:rPr>
          <w:lang w:val="ru-RU"/>
        </w:rPr>
        <w:t xml:space="preserve">Показано, что эмоциональная дизрегуляция в целом и прокрастинация как одна из специфических стратегий </w:t>
      </w:r>
      <w:r>
        <w:t>ER</w:t>
      </w:r>
      <w:r w:rsidRPr="00EB7815">
        <w:rPr>
          <w:lang w:val="ru-RU"/>
        </w:rPr>
        <w:t xml:space="preserve"> являются сильными предикторами </w:t>
      </w:r>
      <w:r>
        <w:t>PG</w:t>
      </w:r>
      <w:r w:rsidRPr="00EB7815">
        <w:rPr>
          <w:lang w:val="ru-RU"/>
        </w:rPr>
        <w:t xml:space="preserve"> в разных возрастных группах подростков и у представителей обоих полов. В отношении проблемных стратегий регуляции эмоций отчетливо прослеживаются половые и возрастные различия. Если детям сложнее распознавать эмоции, то подросткам - принимать их. Примечательно, что у мальчиков чаще наблюдаются трудности с осознанием собственных эмоций, тогда как у девочек, которые обычно опережают их по кортикальному развитию, чаще возникают трудности с принятием собственных эмоций. Кроме того, эмоциональная дизрегуляция, включая прокрастинацию, позволяет предсказывать различные игровые паттерны и их устойчивость спустя 14 месяцев.</w:t>
      </w:r>
    </w:p>
    <w:sectPr w:rsidR="00DD641D" w:rsidRPr="00EB7815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697558">
    <w:abstractNumId w:val="8"/>
  </w:num>
  <w:num w:numId="2" w16cid:durableId="958754291">
    <w:abstractNumId w:val="6"/>
  </w:num>
  <w:num w:numId="3" w16cid:durableId="1248882174">
    <w:abstractNumId w:val="5"/>
  </w:num>
  <w:num w:numId="4" w16cid:durableId="1045834761">
    <w:abstractNumId w:val="4"/>
  </w:num>
  <w:num w:numId="5" w16cid:durableId="314184011">
    <w:abstractNumId w:val="7"/>
  </w:num>
  <w:num w:numId="6" w16cid:durableId="2038659805">
    <w:abstractNumId w:val="3"/>
  </w:num>
  <w:num w:numId="7" w16cid:durableId="567155981">
    <w:abstractNumId w:val="2"/>
  </w:num>
  <w:num w:numId="8" w16cid:durableId="281423128">
    <w:abstractNumId w:val="1"/>
  </w:num>
  <w:num w:numId="9" w16cid:durableId="188436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63AC0"/>
    <w:rsid w:val="00CB0664"/>
    <w:rsid w:val="00DD641D"/>
    <w:rsid w:val="00EB78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A7059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6332</Words>
  <Characters>36095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2026-04-20T14:10:00Z</dcterms:modified>
  <cp:category/>
</cp:coreProperties>
</file>